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pacing w:val="60"/>
          <w:sz w:val="74"/>
        </w:rPr>
      </w:pPr>
    </w:p>
    <w:p>
      <w:pPr>
        <w:jc w:val="center"/>
        <w:rPr>
          <w:rFonts w:hint="eastAsia" w:ascii="方正小标宋简体" w:eastAsia="方正小标宋简体"/>
          <w:spacing w:val="60"/>
          <w:sz w:val="74"/>
        </w:rPr>
      </w:pPr>
    </w:p>
    <w:p>
      <w:pPr>
        <w:jc w:val="center"/>
        <w:rPr>
          <w:rFonts w:hint="eastAsia" w:ascii="方正小标宋简体" w:eastAsia="方正小标宋简体"/>
          <w:spacing w:val="60"/>
          <w:sz w:val="74"/>
        </w:rPr>
      </w:pPr>
      <w:r>
        <w:rPr>
          <w:rFonts w:hint="eastAsia" w:ascii="方正小标宋简体" w:eastAsia="方正小标宋简体"/>
          <w:spacing w:val="60"/>
          <w:sz w:val="74"/>
        </w:rPr>
        <w:t>2018年度</w:t>
      </w:r>
    </w:p>
    <w:p>
      <w:pPr>
        <w:jc w:val="center"/>
        <w:rPr>
          <w:rFonts w:hint="eastAsia" w:ascii="方正小标宋简体" w:eastAsia="方正小标宋简体"/>
          <w:spacing w:val="60"/>
          <w:sz w:val="74"/>
        </w:rPr>
      </w:pPr>
      <w:r>
        <w:rPr>
          <w:rFonts w:hint="eastAsia" w:ascii="方正小标宋简体" w:eastAsia="方正小标宋简体"/>
          <w:spacing w:val="60"/>
          <w:sz w:val="74"/>
          <w:lang w:eastAsia="zh-CN"/>
        </w:rPr>
        <w:t>曲阜市图书馆</w:t>
      </w:r>
      <w:r>
        <w:rPr>
          <w:rFonts w:hint="eastAsia" w:ascii="方正小标宋简体" w:eastAsia="方正小标宋简体"/>
          <w:spacing w:val="60"/>
          <w:sz w:val="74"/>
        </w:rPr>
        <w:t>部门决算</w:t>
      </w:r>
    </w:p>
    <w:p/>
    <w:p/>
    <w:p/>
    <w:p/>
    <w:p/>
    <w:p/>
    <w:p/>
    <w:p/>
    <w:p/>
    <w:p/>
    <w:p/>
    <w:p/>
    <w:p/>
    <w:p>
      <w:pPr>
        <w:spacing w:after="305" w:afterLines="50" w:line="580" w:lineRule="exact"/>
        <w:jc w:val="center"/>
        <w:rPr>
          <w:rFonts w:hint="eastAsia" w:ascii="方正小标宋简体" w:eastAsia="方正小标宋简体"/>
          <w:sz w:val="44"/>
          <w:szCs w:val="44"/>
        </w:rPr>
      </w:pPr>
    </w:p>
    <w:p>
      <w:pPr>
        <w:spacing w:after="305" w:afterLines="5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spacing w:line="580" w:lineRule="exact"/>
        <w:ind w:firstLine="316" w:firstLineChars="100"/>
        <w:rPr>
          <w:rFonts w:hint="eastAsia" w:ascii="黑体" w:hAnsi="黑体" w:eastAsia="黑体"/>
        </w:rPr>
      </w:pPr>
      <w:r>
        <w:rPr>
          <w:rFonts w:hint="eastAsia" w:ascii="黑体" w:hAnsi="黑体" w:eastAsia="黑体"/>
        </w:rPr>
        <w:t>第一部分  部门概况</w:t>
      </w:r>
    </w:p>
    <w:p>
      <w:pPr>
        <w:spacing w:line="580" w:lineRule="exact"/>
        <w:ind w:firstLine="632" w:firstLineChars="200"/>
        <w:rPr>
          <w:rFonts w:hint="eastAsia" w:ascii="仿宋_GB2312" w:eastAsia="仿宋_GB2312"/>
        </w:rPr>
      </w:pPr>
      <w:r>
        <w:rPr>
          <w:rFonts w:hint="eastAsia" w:ascii="仿宋_GB2312" w:eastAsia="仿宋_GB2312"/>
        </w:rPr>
        <w:t>一、部门职责</w:t>
      </w:r>
    </w:p>
    <w:p>
      <w:pPr>
        <w:spacing w:line="580" w:lineRule="exact"/>
        <w:ind w:firstLine="632" w:firstLineChars="200"/>
        <w:rPr>
          <w:rFonts w:hint="eastAsia" w:ascii="仿宋_GB2312" w:eastAsia="仿宋_GB2312"/>
        </w:rPr>
      </w:pPr>
      <w:r>
        <w:rPr>
          <w:rFonts w:hint="eastAsia" w:ascii="仿宋_GB2312" w:eastAsia="仿宋_GB2312"/>
        </w:rPr>
        <w:t>二、机构设置</w:t>
      </w:r>
    </w:p>
    <w:p>
      <w:pPr>
        <w:spacing w:line="580" w:lineRule="exact"/>
        <w:ind w:firstLine="316" w:firstLineChars="100"/>
        <w:rPr>
          <w:rFonts w:hint="eastAsia" w:ascii="黑体" w:hAnsi="黑体" w:eastAsia="黑体"/>
        </w:rPr>
      </w:pPr>
      <w:r>
        <w:rPr>
          <w:rFonts w:hint="eastAsia" w:ascii="黑体" w:hAnsi="黑体" w:eastAsia="黑体"/>
        </w:rPr>
        <w:t>第二部分  2018年度部门决算表</w:t>
      </w:r>
    </w:p>
    <w:p>
      <w:pPr>
        <w:spacing w:line="580" w:lineRule="exact"/>
        <w:ind w:firstLine="632" w:firstLineChars="200"/>
        <w:rPr>
          <w:rFonts w:hint="eastAsia" w:ascii="仿宋_GB2312" w:eastAsia="仿宋_GB2312"/>
        </w:rPr>
      </w:pPr>
      <w:r>
        <w:rPr>
          <w:rFonts w:hint="eastAsia" w:ascii="仿宋_GB2312" w:eastAsia="仿宋_GB2312"/>
        </w:rPr>
        <w:t>一、收入支出决算总表</w:t>
      </w:r>
    </w:p>
    <w:p>
      <w:pPr>
        <w:spacing w:line="580" w:lineRule="exact"/>
        <w:ind w:firstLine="632" w:firstLineChars="200"/>
        <w:rPr>
          <w:rFonts w:hint="eastAsia" w:ascii="仿宋_GB2312" w:eastAsia="仿宋_GB2312"/>
        </w:rPr>
      </w:pPr>
      <w:r>
        <w:rPr>
          <w:rFonts w:hint="eastAsia" w:ascii="仿宋_GB2312" w:eastAsia="仿宋_GB2312"/>
        </w:rPr>
        <w:t>二、收入决算表</w:t>
      </w:r>
    </w:p>
    <w:p>
      <w:pPr>
        <w:spacing w:line="580" w:lineRule="exact"/>
        <w:ind w:firstLine="632" w:firstLineChars="200"/>
        <w:rPr>
          <w:rFonts w:hint="eastAsia" w:ascii="仿宋_GB2312" w:eastAsia="仿宋_GB2312"/>
        </w:rPr>
      </w:pPr>
      <w:r>
        <w:rPr>
          <w:rFonts w:hint="eastAsia" w:ascii="仿宋_GB2312" w:eastAsia="仿宋_GB2312"/>
        </w:rPr>
        <w:t>三、支出决算表</w:t>
      </w:r>
    </w:p>
    <w:p>
      <w:pPr>
        <w:spacing w:line="580" w:lineRule="exact"/>
        <w:ind w:firstLine="632" w:firstLineChars="200"/>
        <w:rPr>
          <w:rFonts w:hint="eastAsia" w:ascii="仿宋_GB2312" w:eastAsia="仿宋_GB2312"/>
        </w:rPr>
      </w:pPr>
      <w:r>
        <w:rPr>
          <w:rFonts w:hint="eastAsia" w:ascii="仿宋_GB2312" w:eastAsia="仿宋_GB2312"/>
        </w:rPr>
        <w:t>四、财政拨款收入支出决算总表</w:t>
      </w:r>
    </w:p>
    <w:p>
      <w:pPr>
        <w:spacing w:line="580" w:lineRule="exact"/>
        <w:ind w:firstLine="632" w:firstLineChars="200"/>
        <w:rPr>
          <w:rFonts w:hint="eastAsia" w:ascii="仿宋_GB2312" w:eastAsia="仿宋_GB2312"/>
        </w:rPr>
      </w:pPr>
      <w:r>
        <w:rPr>
          <w:rFonts w:hint="eastAsia" w:ascii="仿宋_GB2312" w:eastAsia="仿宋_GB2312"/>
        </w:rPr>
        <w:t>五、一般公共预算财政拨款支出决算表</w:t>
      </w:r>
    </w:p>
    <w:p>
      <w:pPr>
        <w:spacing w:line="580" w:lineRule="exact"/>
        <w:ind w:firstLine="632" w:firstLineChars="200"/>
        <w:rPr>
          <w:rFonts w:hint="eastAsia" w:ascii="仿宋_GB2312" w:eastAsia="仿宋_GB2312"/>
        </w:rPr>
      </w:pPr>
      <w:r>
        <w:rPr>
          <w:rFonts w:hint="eastAsia" w:ascii="仿宋_GB2312" w:eastAsia="仿宋_GB2312"/>
        </w:rPr>
        <w:t>六、一般公共预算财政拨款基本支出决算表</w:t>
      </w:r>
    </w:p>
    <w:p>
      <w:pPr>
        <w:spacing w:line="580" w:lineRule="exact"/>
        <w:ind w:firstLine="632" w:firstLineChars="200"/>
        <w:rPr>
          <w:rFonts w:hint="eastAsia" w:ascii="仿宋_GB2312" w:eastAsia="仿宋_GB2312"/>
        </w:rPr>
      </w:pPr>
      <w:r>
        <w:rPr>
          <w:rFonts w:hint="eastAsia" w:ascii="仿宋_GB2312" w:eastAsia="仿宋_GB2312"/>
        </w:rPr>
        <w:t>七、政府性基金预算财政拨款收入支出决算表</w:t>
      </w:r>
    </w:p>
    <w:p>
      <w:pPr>
        <w:spacing w:line="580" w:lineRule="exact"/>
        <w:ind w:firstLine="632" w:firstLineChars="200"/>
        <w:rPr>
          <w:rFonts w:hint="eastAsia" w:ascii="仿宋_GB2312" w:eastAsia="仿宋_GB2312"/>
        </w:rPr>
      </w:pPr>
      <w:r>
        <w:rPr>
          <w:rFonts w:hint="eastAsia" w:ascii="仿宋_GB2312" w:eastAsia="仿宋_GB2312"/>
        </w:rPr>
        <w:t>八、一般公共预算财政拨款“三公”经费支出决算表</w:t>
      </w:r>
    </w:p>
    <w:p>
      <w:pPr>
        <w:spacing w:line="580" w:lineRule="exact"/>
        <w:ind w:firstLine="316" w:firstLineChars="100"/>
        <w:rPr>
          <w:rFonts w:hint="eastAsia" w:ascii="黑体" w:hAnsi="黑体" w:eastAsia="黑体"/>
        </w:rPr>
      </w:pPr>
      <w:r>
        <w:rPr>
          <w:rFonts w:hint="eastAsia" w:ascii="黑体" w:hAnsi="黑体" w:eastAsia="黑体"/>
        </w:rPr>
        <w:t>第三部分  2018年度部门决算情况说明</w:t>
      </w:r>
    </w:p>
    <w:p>
      <w:pPr>
        <w:spacing w:line="580" w:lineRule="exact"/>
        <w:ind w:firstLine="632" w:firstLineChars="200"/>
        <w:rPr>
          <w:rFonts w:hint="eastAsia" w:ascii="仿宋_GB2312" w:eastAsia="仿宋_GB2312"/>
        </w:rPr>
      </w:pPr>
      <w:r>
        <w:rPr>
          <w:rFonts w:hint="eastAsia" w:ascii="仿宋_GB2312" w:eastAsia="仿宋_GB2312"/>
        </w:rPr>
        <w:t>一、收入支出决算总体情况说明</w:t>
      </w:r>
    </w:p>
    <w:p>
      <w:pPr>
        <w:spacing w:line="580" w:lineRule="exact"/>
        <w:ind w:firstLine="632" w:firstLineChars="200"/>
        <w:rPr>
          <w:rFonts w:hint="eastAsia" w:ascii="仿宋_GB2312" w:eastAsia="仿宋_GB2312"/>
        </w:rPr>
      </w:pPr>
      <w:r>
        <w:rPr>
          <w:rFonts w:hint="eastAsia" w:ascii="仿宋_GB2312" w:eastAsia="仿宋_GB2312"/>
        </w:rPr>
        <w:t>二、收入决算情况说明</w:t>
      </w:r>
    </w:p>
    <w:p>
      <w:pPr>
        <w:spacing w:line="580" w:lineRule="exact"/>
        <w:ind w:firstLine="632" w:firstLineChars="200"/>
        <w:rPr>
          <w:rFonts w:hint="eastAsia" w:ascii="仿宋_GB2312" w:eastAsia="仿宋_GB2312"/>
        </w:rPr>
      </w:pPr>
      <w:r>
        <w:rPr>
          <w:rFonts w:hint="eastAsia" w:ascii="仿宋_GB2312" w:eastAsia="仿宋_GB2312"/>
        </w:rPr>
        <w:t>三、支出决算情况说明</w:t>
      </w:r>
    </w:p>
    <w:p>
      <w:pPr>
        <w:spacing w:line="580" w:lineRule="exact"/>
        <w:ind w:firstLine="632" w:firstLineChars="200"/>
        <w:rPr>
          <w:rFonts w:hint="eastAsia" w:ascii="仿宋_GB2312" w:eastAsia="仿宋_GB2312"/>
        </w:rPr>
      </w:pPr>
      <w:r>
        <w:rPr>
          <w:rFonts w:hint="eastAsia" w:ascii="仿宋_GB2312" w:eastAsia="仿宋_GB2312"/>
        </w:rPr>
        <w:t>四、财政拨款收入支出决算总体情况说明</w:t>
      </w:r>
    </w:p>
    <w:p>
      <w:pPr>
        <w:spacing w:line="580" w:lineRule="exact"/>
        <w:ind w:firstLine="632" w:firstLineChars="200"/>
        <w:rPr>
          <w:rFonts w:hint="eastAsia" w:ascii="仿宋_GB2312" w:eastAsia="仿宋_GB2312"/>
        </w:rPr>
      </w:pPr>
      <w:r>
        <w:rPr>
          <w:rFonts w:hint="eastAsia" w:ascii="仿宋_GB2312" w:eastAsia="仿宋_GB2312"/>
        </w:rPr>
        <w:t>五、一般公共预算财政拨款支出决算情况说明</w:t>
      </w:r>
    </w:p>
    <w:p>
      <w:pPr>
        <w:spacing w:line="580" w:lineRule="exact"/>
        <w:ind w:firstLine="632" w:firstLineChars="200"/>
        <w:rPr>
          <w:rFonts w:hint="eastAsia" w:ascii="仿宋_GB2312" w:eastAsia="仿宋_GB2312"/>
        </w:rPr>
      </w:pPr>
      <w:r>
        <w:rPr>
          <w:rFonts w:hint="eastAsia" w:ascii="仿宋_GB2312" w:eastAsia="仿宋_GB2312"/>
        </w:rPr>
        <w:t>六、一般公共预算财政拨款基本支出决算情况说明</w:t>
      </w:r>
    </w:p>
    <w:p>
      <w:pPr>
        <w:spacing w:line="580" w:lineRule="exact"/>
        <w:ind w:firstLine="632" w:firstLineChars="200"/>
        <w:rPr>
          <w:rFonts w:hint="eastAsia" w:ascii="仿宋_GB2312" w:eastAsia="仿宋_GB2312"/>
        </w:rPr>
      </w:pPr>
      <w:r>
        <w:rPr>
          <w:rFonts w:hint="eastAsia" w:ascii="仿宋_GB2312" w:eastAsia="仿宋_GB2312"/>
        </w:rPr>
        <w:t>七、政府性基金预算财政拨款收入支出决算情况说明</w:t>
      </w:r>
    </w:p>
    <w:p>
      <w:pPr>
        <w:spacing w:line="580" w:lineRule="exact"/>
        <w:ind w:firstLine="632" w:firstLineChars="200"/>
        <w:rPr>
          <w:rFonts w:hint="eastAsia" w:ascii="仿宋_GB2312" w:eastAsia="仿宋_GB2312"/>
        </w:rPr>
      </w:pPr>
      <w:r>
        <w:rPr>
          <w:rFonts w:hint="eastAsia" w:ascii="仿宋_GB2312" w:eastAsia="仿宋_GB2312"/>
        </w:rPr>
        <w:t>八、一般公共预算财政拨款“三公”经费支出决算情况说明</w:t>
      </w:r>
    </w:p>
    <w:p>
      <w:pPr>
        <w:spacing w:line="580" w:lineRule="exact"/>
        <w:ind w:firstLine="632" w:firstLineChars="200"/>
        <w:rPr>
          <w:rFonts w:hint="eastAsia" w:ascii="仿宋_GB2312" w:eastAsia="仿宋_GB2312"/>
        </w:rPr>
      </w:pPr>
      <w:r>
        <w:rPr>
          <w:rFonts w:hint="eastAsia" w:ascii="仿宋_GB2312" w:eastAsia="仿宋_GB2312"/>
        </w:rPr>
        <w:t>九、重要事项情况说明</w:t>
      </w:r>
    </w:p>
    <w:p>
      <w:pPr>
        <w:spacing w:line="580" w:lineRule="exact"/>
        <w:ind w:firstLine="316" w:firstLineChars="100"/>
        <w:rPr>
          <w:rFonts w:hint="eastAsia" w:ascii="黑体" w:hAnsi="黑体" w:eastAsia="黑体"/>
        </w:rPr>
      </w:pPr>
      <w:r>
        <w:rPr>
          <w:rFonts w:hint="eastAsia" w:ascii="黑体" w:hAnsi="黑体" w:eastAsia="黑体"/>
        </w:rPr>
        <w:t>第四部分  名词解释</w:t>
      </w:r>
    </w:p>
    <w:p/>
    <w:p/>
    <w:p/>
    <w:p/>
    <w:p/>
    <w:p/>
    <w:p/>
    <w:p/>
    <w:p/>
    <w:p/>
    <w:p/>
    <w:p/>
    <w:p/>
    <w:p/>
    <w:p/>
    <w:p/>
    <w:p/>
    <w:p/>
    <w:p/>
    <w:p>
      <w:pPr>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96" w:firstLineChars="100"/>
        <w:rPr>
          <w:rFonts w:hint="eastAsia" w:ascii="方正小标宋简体" w:eastAsia="方正小标宋简体"/>
          <w:spacing w:val="60"/>
          <w:sz w:val="48"/>
          <w:szCs w:val="48"/>
        </w:rPr>
      </w:pPr>
      <w:r>
        <w:rPr>
          <w:rFonts w:hint="eastAsia" w:ascii="方正小标宋简体" w:eastAsia="方正小标宋简体"/>
          <w:spacing w:val="60"/>
          <w:sz w:val="48"/>
          <w:szCs w:val="48"/>
        </w:rPr>
        <w:t>第一部分</w:t>
      </w:r>
    </w:p>
    <w:p>
      <w:pPr>
        <w:jc w:val="center"/>
        <w:rPr>
          <w:rFonts w:hint="eastAsia" w:ascii="方正小标宋简体" w:eastAsia="方正小标宋简体"/>
          <w:spacing w:val="60"/>
          <w:sz w:val="48"/>
          <w:szCs w:val="48"/>
        </w:rPr>
      </w:pPr>
    </w:p>
    <w:p>
      <w:pPr>
        <w:jc w:val="center"/>
        <w:rPr>
          <w:rFonts w:hint="eastAsia" w:ascii="方正小标宋简体" w:eastAsia="方正小标宋简体"/>
          <w:spacing w:val="60"/>
          <w:sz w:val="48"/>
          <w:szCs w:val="48"/>
        </w:rPr>
      </w:pPr>
      <w:r>
        <w:rPr>
          <w:rFonts w:hint="eastAsia" w:ascii="方正小标宋简体" w:eastAsia="方正小标宋简体"/>
          <w:spacing w:val="60"/>
          <w:sz w:val="48"/>
          <w:szCs w:val="48"/>
        </w:rPr>
        <w:t>部门概况</w:t>
      </w:r>
    </w:p>
    <w:p/>
    <w:p/>
    <w:p/>
    <w:p/>
    <w:p/>
    <w:p/>
    <w:p/>
    <w:p/>
    <w:p/>
    <w:p/>
    <w:p/>
    <w:p/>
    <w:p/>
    <w:p/>
    <w:p>
      <w:pPr>
        <w:numPr>
          <w:ilvl w:val="0"/>
          <w:numId w:val="1"/>
        </w:numPr>
        <w:spacing w:line="580" w:lineRule="exact"/>
        <w:rPr>
          <w:rFonts w:ascii="黑体" w:eastAsia="黑体"/>
          <w:sz w:val="32"/>
          <w:szCs w:val="32"/>
        </w:rPr>
      </w:pPr>
      <w:r>
        <w:rPr>
          <w:rFonts w:hint="eastAsia" w:ascii="黑体" w:eastAsia="黑体"/>
          <w:sz w:val="32"/>
          <w:szCs w:val="32"/>
        </w:rPr>
        <w:t>部门职责</w:t>
      </w:r>
    </w:p>
    <w:p>
      <w:pPr>
        <w:ind w:firstLine="632" w:firstLineChars="200"/>
        <w:rPr>
          <w:rFonts w:hint="eastAsia" w:ascii="仿宋_GB2312" w:eastAsia="仿宋_GB2312"/>
        </w:rPr>
      </w:pPr>
      <w:r>
        <w:rPr>
          <w:rFonts w:hint="eastAsia" w:ascii="仿宋_GB2312" w:eastAsia="仿宋_GB2312"/>
        </w:rPr>
        <w:t>保障人民民群众最基本的文化权益，大力发展社会主义先进文化，推动社会主义经济社会发展和社会主义和谐社会的建设；科学合理地使用图书经费，拟订文献资源建设计划书，兼顾纸质文献、电子文献和其他载体的文献采集，逐步建立能适应曲阜特色文化、科研需要，反映曲阜特点的馆藏体系。办理书刊资料的清点、剔旧、调拨工作，不断提高馆藏质量。利用图书、期刊、资料、报纸、图片、声像、电子文献等各种媒体，配合社会进行思想政治教育，宣传马列主义、毛泽东思想、邓小平理论、三个代表的重要思想、习近平书记重要讲话精神以及政府的政策法令。负责书刊资料和电子文献资源的整理和管理工作。合理组织馆藏，充分发挥文献资源的作用，努力改善服务态度，提高服务质量。根据科学研究的成果和课外阅读的需要，开展流通阅读和读者辅导工作。广泛开展国学教育和特色文化体验活动，传承国学精髓，实现传统文化教育与德育教育的有机结合。开展馆际互借、文献传递，国内国际资料交换工作。开展图书馆学、情报学的理论研究，提高工作人员的业务能力和管理水平。推进和实施现代化技术在图书馆的应用，不断提高图书管理和服务手段的现代化水平。</w:t>
      </w:r>
    </w:p>
    <w:p>
      <w:pPr>
        <w:numPr>
          <w:ilvl w:val="0"/>
          <w:numId w:val="1"/>
        </w:numPr>
        <w:spacing w:line="580" w:lineRule="exact"/>
        <w:rPr>
          <w:rFonts w:ascii="黑体" w:eastAsia="黑体"/>
          <w:sz w:val="32"/>
          <w:szCs w:val="32"/>
        </w:rPr>
      </w:pPr>
      <w:r>
        <w:rPr>
          <w:rFonts w:hint="eastAsia" w:ascii="黑体" w:eastAsia="黑体"/>
          <w:sz w:val="32"/>
          <w:szCs w:val="32"/>
        </w:rPr>
        <w:t>机构设置</w:t>
      </w:r>
    </w:p>
    <w:p>
      <w:pPr>
        <w:ind w:firstLine="632" w:firstLineChars="200"/>
        <w:rPr>
          <w:rFonts w:hint="eastAsia" w:ascii="仿宋_GB2312" w:eastAsia="仿宋_GB2312"/>
        </w:rPr>
      </w:pPr>
      <w:r>
        <w:rPr>
          <w:rFonts w:hint="eastAsia" w:ascii="仿宋_GB2312" w:eastAsia="仿宋_GB2312"/>
        </w:rPr>
        <w:t>设置5个职能科室：市文化信息资源共享工程支中心、办公室、采编辅导部、借阅部、机关借阅部5个科室。</w:t>
      </w:r>
    </w:p>
    <w:p>
      <w:pPr>
        <w:numPr>
          <w:ilvl w:val="0"/>
          <w:numId w:val="0"/>
        </w:numPr>
        <w:spacing w:line="580" w:lineRule="exact"/>
        <w:ind w:left="645" w:leftChars="0"/>
        <w:rPr>
          <w:rFonts w:hint="eastAsia" w:ascii="微软雅黑" w:hAnsi="微软雅黑" w:eastAsia="微软雅黑" w:cs="微软雅黑"/>
          <w:i w:val="0"/>
          <w:caps w:val="0"/>
          <w:color w:val="555555"/>
          <w:spacing w:val="0"/>
          <w:sz w:val="24"/>
          <w:szCs w:val="24"/>
          <w:shd w:val="clear" w:fill="FFFFFF"/>
        </w:rPr>
      </w:pPr>
    </w:p>
    <w:p>
      <w:pPr>
        <w:numPr>
          <w:ilvl w:val="0"/>
          <w:numId w:val="0"/>
        </w:numPr>
        <w:spacing w:line="580" w:lineRule="exact"/>
        <w:ind w:left="645" w:leftChars="0"/>
        <w:rPr>
          <w:rFonts w:hint="eastAsia" w:ascii="微软雅黑" w:hAnsi="微软雅黑" w:eastAsia="微软雅黑" w:cs="微软雅黑"/>
          <w:i w:val="0"/>
          <w:caps w:val="0"/>
          <w:color w:val="555555"/>
          <w:spacing w:val="0"/>
          <w:sz w:val="24"/>
          <w:szCs w:val="24"/>
          <w:shd w:val="clear" w:fill="FFFFFF"/>
        </w:rPr>
      </w:pPr>
    </w:p>
    <w:p>
      <w:pPr>
        <w:numPr>
          <w:ilvl w:val="0"/>
          <w:numId w:val="0"/>
        </w:numPr>
        <w:spacing w:line="580" w:lineRule="exact"/>
        <w:ind w:left="645" w:leftChars="0"/>
        <w:rPr>
          <w:rFonts w:hint="eastAsia" w:ascii="微软雅黑" w:hAnsi="微软雅黑" w:eastAsia="微软雅黑" w:cs="微软雅黑"/>
          <w:i w:val="0"/>
          <w:caps w:val="0"/>
          <w:color w:val="555555"/>
          <w:spacing w:val="0"/>
          <w:sz w:val="24"/>
          <w:szCs w:val="24"/>
          <w:shd w:val="clear" w:fill="FFFFFF"/>
        </w:rPr>
      </w:pPr>
    </w:p>
    <w:p>
      <w:pPr>
        <w:numPr>
          <w:ilvl w:val="0"/>
          <w:numId w:val="0"/>
        </w:numPr>
        <w:spacing w:line="580" w:lineRule="exact"/>
        <w:ind w:left="645" w:leftChars="0"/>
        <w:rPr>
          <w:rFonts w:hint="eastAsia" w:ascii="微软雅黑" w:hAnsi="微软雅黑" w:eastAsia="微软雅黑" w:cs="微软雅黑"/>
          <w:i w:val="0"/>
          <w:caps w:val="0"/>
          <w:color w:val="555555"/>
          <w:spacing w:val="0"/>
          <w:sz w:val="24"/>
          <w:szCs w:val="24"/>
          <w:shd w:val="clear" w:fill="FFFFFF"/>
        </w:rPr>
      </w:pPr>
    </w:p>
    <w:p>
      <w:pPr>
        <w:jc w:val="center"/>
        <w:rPr>
          <w:rFonts w:hint="eastAsia" w:ascii="方正小标宋简体" w:eastAsia="方正小标宋简体"/>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96" w:firstLineChars="100"/>
        <w:rPr>
          <w:rFonts w:hint="eastAsia" w:ascii="方正小标宋简体" w:eastAsia="方正小标宋简体"/>
          <w:spacing w:val="60"/>
          <w:sz w:val="48"/>
          <w:szCs w:val="48"/>
        </w:rPr>
      </w:pPr>
      <w:r>
        <w:rPr>
          <w:rFonts w:hint="eastAsia" w:ascii="方正小标宋简体" w:eastAsia="方正小标宋简体"/>
          <w:spacing w:val="60"/>
          <w:sz w:val="48"/>
          <w:szCs w:val="48"/>
        </w:rPr>
        <w:t>第二部分</w:t>
      </w:r>
    </w:p>
    <w:p>
      <w:pPr>
        <w:jc w:val="center"/>
        <w:rPr>
          <w:rFonts w:hint="eastAsia" w:ascii="方正小标宋简体" w:eastAsia="方正小标宋简体"/>
          <w:spacing w:val="60"/>
          <w:sz w:val="48"/>
          <w:szCs w:val="48"/>
        </w:rPr>
      </w:pPr>
    </w:p>
    <w:p>
      <w:pPr>
        <w:jc w:val="center"/>
        <w:rPr>
          <w:rFonts w:hint="eastAsia" w:ascii="方正小标宋简体" w:eastAsia="方正小标宋简体"/>
          <w:spacing w:val="60"/>
          <w:sz w:val="48"/>
          <w:szCs w:val="48"/>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szCs w:val="48"/>
        </w:rPr>
        <w:t>2018年度部门决算表</w:t>
      </w:r>
    </w:p>
    <w:tbl>
      <w:tblPr>
        <w:tblStyle w:val="4"/>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39"/>
        <w:gridCol w:w="508"/>
        <w:gridCol w:w="1623"/>
        <w:gridCol w:w="2832"/>
        <w:gridCol w:w="686"/>
        <w:gridCol w:w="1"/>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340" w:type="dxa"/>
            <w:gridSpan w:val="7"/>
            <w:shd w:val="clear" w:color="auto" w:fill="auto"/>
            <w:vAlign w:val="bottom"/>
          </w:tcPr>
          <w:p>
            <w:pPr>
              <w:ind w:firstLine="3600" w:firstLineChars="12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shd w:val="clear" w:color="auto" w:fill="auto"/>
            <w:vAlign w:val="bottom"/>
          </w:tcPr>
          <w:p>
            <w:pPr>
              <w:rPr>
                <w:rFonts w:hint="default" w:ascii="Arial" w:hAnsi="Arial" w:cs="Arial"/>
                <w:i w:val="0"/>
                <w:color w:val="000000"/>
                <w:sz w:val="20"/>
                <w:szCs w:val="20"/>
                <w:u w:val="none"/>
              </w:rPr>
            </w:pPr>
          </w:p>
        </w:tc>
        <w:tc>
          <w:tcPr>
            <w:tcW w:w="508" w:type="dxa"/>
            <w:shd w:val="clear" w:color="auto" w:fill="auto"/>
            <w:vAlign w:val="bottom"/>
          </w:tcPr>
          <w:p>
            <w:pPr>
              <w:rPr>
                <w:rFonts w:hint="default" w:ascii="Arial" w:hAnsi="Arial" w:cs="Arial"/>
                <w:i w:val="0"/>
                <w:color w:val="000000"/>
                <w:sz w:val="20"/>
                <w:szCs w:val="20"/>
                <w:u w:val="none"/>
              </w:rPr>
            </w:pPr>
          </w:p>
        </w:tc>
        <w:tc>
          <w:tcPr>
            <w:tcW w:w="1623" w:type="dxa"/>
            <w:shd w:val="clear" w:color="auto" w:fill="auto"/>
            <w:vAlign w:val="bottom"/>
          </w:tcPr>
          <w:p>
            <w:pPr>
              <w:rPr>
                <w:rFonts w:hint="default" w:ascii="Arial" w:hAnsi="Arial" w:cs="Arial"/>
                <w:i w:val="0"/>
                <w:color w:val="000000"/>
                <w:sz w:val="20"/>
                <w:szCs w:val="20"/>
                <w:u w:val="none"/>
              </w:rPr>
            </w:pPr>
          </w:p>
        </w:tc>
        <w:tc>
          <w:tcPr>
            <w:tcW w:w="2832" w:type="dxa"/>
            <w:shd w:val="clear" w:color="auto" w:fill="auto"/>
            <w:vAlign w:val="bottom"/>
          </w:tcPr>
          <w:p>
            <w:pPr>
              <w:rPr>
                <w:rFonts w:hint="default" w:ascii="Arial" w:hAnsi="Arial" w:cs="Arial"/>
                <w:i w:val="0"/>
                <w:color w:val="000000"/>
                <w:sz w:val="20"/>
                <w:szCs w:val="20"/>
                <w:u w:val="none"/>
              </w:rPr>
            </w:pPr>
          </w:p>
        </w:tc>
        <w:tc>
          <w:tcPr>
            <w:tcW w:w="687" w:type="dxa"/>
            <w:gridSpan w:val="2"/>
            <w:shd w:val="clear" w:color="auto" w:fill="auto"/>
            <w:vAlign w:val="bottom"/>
          </w:tcPr>
          <w:p>
            <w:pPr>
              <w:rPr>
                <w:rFonts w:hint="default" w:ascii="Arial" w:hAnsi="Arial" w:cs="Arial"/>
                <w:i w:val="0"/>
                <w:color w:val="000000"/>
                <w:sz w:val="20"/>
                <w:szCs w:val="20"/>
                <w:u w:val="none"/>
              </w:rPr>
            </w:pPr>
          </w:p>
        </w:tc>
        <w:tc>
          <w:tcPr>
            <w:tcW w:w="115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部门：曲阜市图书馆</w:t>
            </w:r>
          </w:p>
        </w:tc>
        <w:tc>
          <w:tcPr>
            <w:tcW w:w="508" w:type="dxa"/>
            <w:shd w:val="clear" w:color="auto" w:fill="auto"/>
            <w:vAlign w:val="bottom"/>
          </w:tcPr>
          <w:p>
            <w:pPr>
              <w:rPr>
                <w:rFonts w:hint="default" w:ascii="Arial" w:hAnsi="Arial" w:cs="Arial"/>
                <w:i w:val="0"/>
                <w:color w:val="000000"/>
                <w:sz w:val="20"/>
                <w:szCs w:val="20"/>
                <w:u w:val="none"/>
              </w:rPr>
            </w:pPr>
          </w:p>
        </w:tc>
        <w:tc>
          <w:tcPr>
            <w:tcW w:w="1623" w:type="dxa"/>
            <w:shd w:val="clear" w:color="auto" w:fill="auto"/>
            <w:vAlign w:val="bottom"/>
          </w:tcPr>
          <w:p>
            <w:pPr>
              <w:rPr>
                <w:rFonts w:hint="default" w:ascii="Arial" w:hAnsi="Arial" w:cs="Arial"/>
                <w:i w:val="0"/>
                <w:color w:val="000000"/>
                <w:sz w:val="20"/>
                <w:szCs w:val="20"/>
                <w:u w:val="none"/>
              </w:rPr>
            </w:pPr>
          </w:p>
        </w:tc>
        <w:tc>
          <w:tcPr>
            <w:tcW w:w="2832" w:type="dxa"/>
            <w:shd w:val="clear" w:color="auto" w:fill="auto"/>
            <w:vAlign w:val="bottom"/>
          </w:tcPr>
          <w:p>
            <w:pPr>
              <w:rPr>
                <w:rFonts w:hint="default" w:ascii="Arial" w:hAnsi="Arial" w:cs="Arial"/>
                <w:i w:val="0"/>
                <w:color w:val="000000"/>
                <w:sz w:val="20"/>
                <w:szCs w:val="20"/>
                <w:u w:val="none"/>
              </w:rPr>
            </w:pPr>
          </w:p>
        </w:tc>
        <w:tc>
          <w:tcPr>
            <w:tcW w:w="687" w:type="dxa"/>
            <w:gridSpan w:val="2"/>
            <w:shd w:val="clear" w:color="auto" w:fill="auto"/>
            <w:vAlign w:val="bottom"/>
          </w:tcPr>
          <w:p>
            <w:pPr>
              <w:rPr>
                <w:rFonts w:hint="default" w:ascii="Arial" w:hAnsi="Arial" w:cs="Arial"/>
                <w:i w:val="0"/>
                <w:color w:val="000000"/>
                <w:sz w:val="20"/>
                <w:szCs w:val="20"/>
                <w:u w:val="none"/>
              </w:rPr>
            </w:pPr>
          </w:p>
        </w:tc>
        <w:tc>
          <w:tcPr>
            <w:tcW w:w="115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670"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670" w:type="dxa"/>
            <w:gridSpan w:val="4"/>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5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08"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86"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5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185.42</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185.42</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5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196.09</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34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bl>
    <w:p>
      <w:pPr>
        <w:sectPr>
          <w:pgSz w:w="11906" w:h="16838"/>
          <w:pgMar w:top="1701" w:right="1531" w:bottom="1701" w:left="1531" w:header="851" w:footer="992" w:gutter="0"/>
          <w:cols w:space="425" w:num="1"/>
          <w:docGrid w:type="lines" w:linePitch="312" w:charSpace="0"/>
        </w:sectPr>
      </w:pPr>
    </w:p>
    <w:tbl>
      <w:tblPr>
        <w:tblStyle w:val="4"/>
        <w:tblW w:w="13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754"/>
        <w:gridCol w:w="808"/>
        <w:gridCol w:w="3931"/>
        <w:gridCol w:w="1801"/>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740" w:type="dxa"/>
            <w:gridSpan w:val="11"/>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6" w:type="dxa"/>
            <w:shd w:val="clear" w:color="auto" w:fill="auto"/>
            <w:vAlign w:val="bottom"/>
          </w:tcPr>
          <w:p>
            <w:pPr>
              <w:rPr>
                <w:rFonts w:hint="default" w:ascii="Arial" w:hAnsi="Arial" w:cs="Arial"/>
                <w:i w:val="0"/>
                <w:color w:val="000000"/>
                <w:sz w:val="20"/>
                <w:szCs w:val="20"/>
                <w:u w:val="none"/>
              </w:rPr>
            </w:pP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部门：曲阜市图书馆</w:t>
            </w: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185.42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185.42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文化体育与传媒支出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图书馆</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740"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sectPr>
          <w:pgSz w:w="16838" w:h="11906" w:orient="landscape"/>
          <w:pgMar w:top="1531" w:right="1701" w:bottom="1531" w:left="1701" w:header="851" w:footer="992" w:gutter="0"/>
          <w:cols w:space="425" w:num="1"/>
          <w:docGrid w:type="lines" w:linePitch="312" w:charSpace="0"/>
        </w:sectPr>
      </w:pPr>
    </w:p>
    <w:tbl>
      <w:tblPr>
        <w:tblStyle w:val="4"/>
        <w:tblW w:w="12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754"/>
        <w:gridCol w:w="808"/>
        <w:gridCol w:w="3931"/>
        <w:gridCol w:w="1801"/>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2780" w:type="dxa"/>
            <w:gridSpan w:val="10"/>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6" w:type="dxa"/>
            <w:shd w:val="clear" w:color="auto" w:fill="auto"/>
            <w:vAlign w:val="bottom"/>
          </w:tcPr>
          <w:p>
            <w:pPr>
              <w:rPr>
                <w:rFonts w:hint="default" w:ascii="Arial" w:hAnsi="Arial" w:cs="Arial"/>
                <w:i w:val="0"/>
                <w:color w:val="000000"/>
                <w:sz w:val="20"/>
                <w:szCs w:val="20"/>
                <w:u w:val="none"/>
              </w:rPr>
            </w:pP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部门：曲阜市图书馆</w:t>
            </w: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189.70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161.89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27.81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文化体育与传媒支出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图书馆</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78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sectPr>
          <w:pgSz w:w="16838" w:h="11906" w:orient="landscape"/>
          <w:pgMar w:top="1531" w:right="1701" w:bottom="1531" w:left="1701" w:header="851" w:footer="992" w:gutter="0"/>
          <w:cols w:space="425" w:num="1"/>
          <w:docGrid w:type="lines" w:linePitch="312" w:charSpace="0"/>
        </w:sectPr>
      </w:pPr>
    </w:p>
    <w:p>
      <w:pPr>
        <w:rPr>
          <w:rFonts w:hint="eastAsia" w:eastAsia="宋体"/>
          <w:lang w:eastAsia="zh-CN"/>
        </w:rPr>
        <w:sectPr>
          <w:pgSz w:w="16838" w:h="11906" w:orient="landscape"/>
          <w:pgMar w:top="1531" w:right="1701" w:bottom="1531" w:left="1701" w:header="851" w:footer="992" w:gutter="0"/>
          <w:cols w:space="425" w:num="1"/>
          <w:docGrid w:type="lines" w:linePitch="312" w:charSpace="0"/>
        </w:sectPr>
      </w:pPr>
      <w:r>
        <w:rPr>
          <w:rFonts w:hint="eastAsia" w:eastAsia="宋体"/>
          <w:lang w:eastAsia="zh-CN"/>
        </w:rPr>
        <w:drawing>
          <wp:anchor distT="0" distB="0" distL="114300" distR="114300" simplePos="0" relativeHeight="251659264" behindDoc="0" locked="0" layoutInCell="1" allowOverlap="1">
            <wp:simplePos x="0" y="0"/>
            <wp:positionH relativeFrom="column">
              <wp:posOffset>-313690</wp:posOffset>
            </wp:positionH>
            <wp:positionV relativeFrom="page">
              <wp:posOffset>309245</wp:posOffset>
            </wp:positionV>
            <wp:extent cx="8883015" cy="6932930"/>
            <wp:effectExtent l="0" t="0" r="13335" b="1270"/>
            <wp:wrapNone/>
            <wp:docPr id="2" name="图片 2" descr="140e4b4c555b9d66b6e965d7751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0e4b4c555b9d66b6e965d77513545"/>
                    <pic:cNvPicPr>
                      <a:picLocks noChangeAspect="1"/>
                    </pic:cNvPicPr>
                  </pic:nvPicPr>
                  <pic:blipFill>
                    <a:blip r:embed="rId4"/>
                    <a:stretch>
                      <a:fillRect/>
                    </a:stretch>
                  </pic:blipFill>
                  <pic:spPr>
                    <a:xfrm>
                      <a:off x="0" y="0"/>
                      <a:ext cx="8883015" cy="6932930"/>
                    </a:xfrm>
                    <a:prstGeom prst="rect">
                      <a:avLst/>
                    </a:prstGeom>
                  </pic:spPr>
                </pic:pic>
              </a:graphicData>
            </a:graphic>
          </wp:anchor>
        </w:drawing>
      </w:r>
    </w:p>
    <w:tbl>
      <w:tblPr>
        <w:tblStyle w:val="4"/>
        <w:tblW w:w="13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754"/>
        <w:gridCol w:w="808"/>
        <w:gridCol w:w="3931"/>
        <w:gridCol w:w="2251"/>
        <w:gridCol w:w="960"/>
        <w:gridCol w:w="4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602" w:type="dxa"/>
            <w:gridSpan w:val="7"/>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6" w:type="dxa"/>
            <w:shd w:val="clear" w:color="auto" w:fill="auto"/>
            <w:vAlign w:val="bottom"/>
          </w:tcPr>
          <w:p>
            <w:pPr>
              <w:rPr>
                <w:rFonts w:hint="default" w:ascii="Arial" w:hAnsi="Arial" w:cs="Arial"/>
                <w:i w:val="0"/>
                <w:color w:val="000000"/>
                <w:sz w:val="20"/>
                <w:szCs w:val="20"/>
                <w:u w:val="none"/>
              </w:rPr>
            </w:pP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225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421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部门：曲阜市图书馆</w:t>
            </w: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225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421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423"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5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421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5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21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5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21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5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1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189.70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161.89</w:t>
            </w:r>
          </w:p>
        </w:tc>
        <w:tc>
          <w:tcPr>
            <w:tcW w:w="4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文化体育与传媒支出</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161.89</w:t>
            </w:r>
          </w:p>
        </w:tc>
        <w:tc>
          <w:tcPr>
            <w:tcW w:w="4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161.89</w:t>
            </w:r>
          </w:p>
        </w:tc>
        <w:tc>
          <w:tcPr>
            <w:tcW w:w="4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图书馆</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161.89</w:t>
            </w:r>
          </w:p>
        </w:tc>
        <w:tc>
          <w:tcPr>
            <w:tcW w:w="4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2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2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2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2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2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2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2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2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2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21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602"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rPr>
          <w:rFonts w:hint="eastAsia" w:eastAsia="宋体"/>
          <w:lang w:eastAsia="zh-CN"/>
        </w:rPr>
        <w:sectPr>
          <w:pgSz w:w="16838" w:h="11906" w:orient="landscape"/>
          <w:pgMar w:top="1531" w:right="1701" w:bottom="1531" w:left="1701" w:header="851" w:footer="992" w:gutter="0"/>
          <w:cols w:space="425" w:num="1"/>
          <w:docGrid w:type="lines" w:linePitch="312" w:charSpace="0"/>
        </w:sectPr>
      </w:pPr>
    </w:p>
    <w:p>
      <w:pPr>
        <w:rPr>
          <w:rFonts w:hint="eastAsia" w:eastAsia="宋体"/>
          <w:lang w:eastAsia="zh-CN"/>
        </w:rPr>
        <w:sectPr>
          <w:pgSz w:w="16838" w:h="11906" w:orient="landscape"/>
          <w:pgMar w:top="1531" w:right="1701" w:bottom="1531" w:left="1701" w:header="851" w:footer="992" w:gutter="0"/>
          <w:cols w:space="425" w:num="1"/>
          <w:docGrid w:type="lines" w:linePitch="312" w:charSpace="0"/>
        </w:sectPr>
      </w:pPr>
      <w:r>
        <w:rPr>
          <w:rFonts w:hint="eastAsia" w:eastAsia="宋体"/>
          <w:lang w:eastAsia="zh-CN"/>
        </w:rPr>
        <w:drawing>
          <wp:anchor distT="0" distB="0" distL="114300" distR="114300" simplePos="0" relativeHeight="251660288" behindDoc="0" locked="0" layoutInCell="1" allowOverlap="1">
            <wp:simplePos x="0" y="0"/>
            <wp:positionH relativeFrom="column">
              <wp:posOffset>-645160</wp:posOffset>
            </wp:positionH>
            <wp:positionV relativeFrom="page">
              <wp:posOffset>412750</wp:posOffset>
            </wp:positionV>
            <wp:extent cx="9878695" cy="6267450"/>
            <wp:effectExtent l="0" t="0" r="8255" b="0"/>
            <wp:wrapNone/>
            <wp:docPr id="3" name="图片 3" descr="cb714e4deee252c11f0d8527878b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b714e4deee252c11f0d8527878be10"/>
                    <pic:cNvPicPr>
                      <a:picLocks noChangeAspect="1"/>
                    </pic:cNvPicPr>
                  </pic:nvPicPr>
                  <pic:blipFill>
                    <a:blip r:embed="rId5"/>
                    <a:stretch>
                      <a:fillRect/>
                    </a:stretch>
                  </pic:blipFill>
                  <pic:spPr>
                    <a:xfrm>
                      <a:off x="0" y="0"/>
                      <a:ext cx="9878695" cy="6267450"/>
                    </a:xfrm>
                    <a:prstGeom prst="rect">
                      <a:avLst/>
                    </a:prstGeom>
                  </pic:spPr>
                </pic:pic>
              </a:graphicData>
            </a:graphic>
          </wp:anchor>
        </w:drawing>
      </w:r>
    </w:p>
    <w:tbl>
      <w:tblPr>
        <w:tblStyle w:val="4"/>
        <w:tblW w:w="13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908"/>
        <w:gridCol w:w="908"/>
        <w:gridCol w:w="3931"/>
        <w:gridCol w:w="1681"/>
        <w:gridCol w:w="960"/>
        <w:gridCol w:w="960"/>
        <w:gridCol w:w="960"/>
        <w:gridCol w:w="960"/>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572" w:type="dxa"/>
            <w:gridSpan w:val="10"/>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2"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68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187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179"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部门：曲阜市图书馆</w:t>
            </w:r>
          </w:p>
        </w:tc>
        <w:tc>
          <w:tcPr>
            <w:tcW w:w="168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187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8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880"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72"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7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7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7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7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8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572"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spacing w:line="600" w:lineRule="exact"/>
        <w:rPr>
          <w:rFonts w:hint="eastAsia" w:ascii="仿宋_GB2312" w:eastAsia="仿宋_GB2312"/>
          <w:b w:val="0"/>
          <w:bCs/>
          <w:sz w:val="32"/>
          <w:szCs w:val="32"/>
          <w:lang w:eastAsia="zh-CN"/>
        </w:rPr>
      </w:pPr>
    </w:p>
    <w:p>
      <w:pPr>
        <w:spacing w:line="600" w:lineRule="exact"/>
        <w:ind w:firstLine="600"/>
        <w:rPr>
          <w:rFonts w:ascii="仿宋_GB2312" w:eastAsia="仿宋_GB2312"/>
          <w:b w:val="0"/>
          <w:bCs/>
          <w:sz w:val="32"/>
          <w:szCs w:val="32"/>
        </w:rPr>
      </w:pPr>
      <w:r>
        <w:rPr>
          <w:rFonts w:hint="eastAsia" w:ascii="仿宋_GB2312" w:eastAsia="仿宋_GB2312"/>
          <w:b w:val="0"/>
          <w:bCs/>
          <w:sz w:val="32"/>
          <w:szCs w:val="32"/>
          <w:lang w:eastAsia="zh-CN"/>
        </w:rPr>
        <w:t>注</w:t>
      </w:r>
      <w:r>
        <w:rPr>
          <w:rFonts w:hint="eastAsia" w:ascii="仿宋_GB2312" w:eastAsia="仿宋_GB2312"/>
          <w:b w:val="0"/>
          <w:bCs/>
          <w:sz w:val="32"/>
          <w:szCs w:val="32"/>
        </w:rPr>
        <w:t>：</w:t>
      </w:r>
      <w:r>
        <w:rPr>
          <w:rFonts w:hint="eastAsia" w:ascii="仿宋_GB2312" w:eastAsia="仿宋_GB2312"/>
          <w:b w:val="0"/>
          <w:bCs/>
          <w:sz w:val="32"/>
          <w:szCs w:val="32"/>
          <w:lang w:val="en-US" w:eastAsia="zh-CN"/>
        </w:rPr>
        <w:t>2018年度</w:t>
      </w:r>
      <w:r>
        <w:rPr>
          <w:rFonts w:hint="eastAsia" w:ascii="仿宋_GB2312" w:eastAsia="仿宋_GB2312"/>
          <w:b w:val="0"/>
          <w:bCs/>
          <w:sz w:val="32"/>
          <w:szCs w:val="32"/>
          <w:lang w:eastAsia="zh-CN"/>
        </w:rPr>
        <w:t>曲阜市图书馆</w:t>
      </w:r>
      <w:r>
        <w:rPr>
          <w:rFonts w:hint="eastAsia" w:ascii="仿宋_GB2312" w:eastAsia="仿宋_GB2312"/>
          <w:b w:val="0"/>
          <w:bCs/>
          <w:sz w:val="32"/>
          <w:szCs w:val="32"/>
        </w:rPr>
        <w:t>没有使用政府性基金安排的支出，故本表无数据。</w:t>
      </w:r>
    </w:p>
    <w:p>
      <w:pPr>
        <w:rPr>
          <w:rFonts w:hint="eastAsia" w:eastAsia="宋体"/>
          <w:b w:val="0"/>
          <w:bCs/>
          <w:lang w:eastAsia="zh-CN"/>
        </w:rPr>
        <w:sectPr>
          <w:pgSz w:w="16838" w:h="11906" w:orient="landscape"/>
          <w:pgMar w:top="1531" w:right="1701" w:bottom="1531" w:left="1701" w:header="851" w:footer="992" w:gutter="0"/>
          <w:cols w:space="425" w:num="1"/>
          <w:docGrid w:type="lines" w:linePitch="312" w:charSpace="0"/>
        </w:sectPr>
      </w:pPr>
    </w:p>
    <w:tbl>
      <w:tblPr>
        <w:tblStyle w:val="4"/>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0"/>
        <w:gridCol w:w="1080"/>
        <w:gridCol w:w="1044"/>
        <w:gridCol w:w="1044"/>
        <w:gridCol w:w="1047"/>
        <w:gridCol w:w="1569"/>
        <w:gridCol w:w="1044"/>
        <w:gridCol w:w="1080"/>
        <w:gridCol w:w="1044"/>
        <w:gridCol w:w="1044"/>
        <w:gridCol w:w="1046"/>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8" w:hRule="atLeast"/>
        </w:trPr>
        <w:tc>
          <w:tcPr>
            <w:tcW w:w="14040" w:type="dxa"/>
            <w:gridSpan w:val="12"/>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8" w:hRule="atLeast"/>
        </w:trPr>
        <w:tc>
          <w:tcPr>
            <w:tcW w:w="1500" w:type="dxa"/>
            <w:shd w:val="clear" w:color="auto" w:fill="auto"/>
            <w:vAlign w:val="bottom"/>
          </w:tcPr>
          <w:p>
            <w:pPr>
              <w:rPr>
                <w:rFonts w:hint="default" w:ascii="Arial" w:hAnsi="Arial" w:cs="Arial"/>
                <w:i w:val="0"/>
                <w:color w:val="000000"/>
                <w:sz w:val="20"/>
                <w:szCs w:val="20"/>
                <w:u w:val="none"/>
              </w:rPr>
            </w:pPr>
          </w:p>
        </w:tc>
        <w:tc>
          <w:tcPr>
            <w:tcW w:w="1080" w:type="dxa"/>
            <w:shd w:val="clear" w:color="auto" w:fill="auto"/>
            <w:vAlign w:val="bottom"/>
          </w:tcPr>
          <w:p>
            <w:pPr>
              <w:rPr>
                <w:rFonts w:hint="default" w:ascii="Arial" w:hAnsi="Arial" w:cs="Arial"/>
                <w:i w:val="0"/>
                <w:color w:val="000000"/>
                <w:sz w:val="20"/>
                <w:szCs w:val="20"/>
                <w:u w:val="none"/>
              </w:rPr>
            </w:pPr>
          </w:p>
        </w:tc>
        <w:tc>
          <w:tcPr>
            <w:tcW w:w="1044" w:type="dxa"/>
            <w:shd w:val="clear" w:color="auto" w:fill="auto"/>
            <w:vAlign w:val="bottom"/>
          </w:tcPr>
          <w:p>
            <w:pPr>
              <w:rPr>
                <w:rFonts w:hint="default" w:ascii="Arial" w:hAnsi="Arial" w:cs="Arial"/>
                <w:i w:val="0"/>
                <w:color w:val="000000"/>
                <w:sz w:val="20"/>
                <w:szCs w:val="20"/>
                <w:u w:val="none"/>
              </w:rPr>
            </w:pPr>
          </w:p>
        </w:tc>
        <w:tc>
          <w:tcPr>
            <w:tcW w:w="1044" w:type="dxa"/>
            <w:shd w:val="clear" w:color="auto" w:fill="auto"/>
            <w:vAlign w:val="bottom"/>
          </w:tcPr>
          <w:p>
            <w:pPr>
              <w:rPr>
                <w:rFonts w:hint="default" w:ascii="Arial" w:hAnsi="Arial" w:cs="Arial"/>
                <w:i w:val="0"/>
                <w:color w:val="000000"/>
                <w:sz w:val="20"/>
                <w:szCs w:val="20"/>
                <w:u w:val="none"/>
              </w:rPr>
            </w:pPr>
          </w:p>
        </w:tc>
        <w:tc>
          <w:tcPr>
            <w:tcW w:w="1047" w:type="dxa"/>
            <w:shd w:val="clear" w:color="auto" w:fill="auto"/>
            <w:vAlign w:val="bottom"/>
          </w:tcPr>
          <w:p>
            <w:pPr>
              <w:rPr>
                <w:rFonts w:hint="default" w:ascii="Arial" w:hAnsi="Arial" w:cs="Arial"/>
                <w:i w:val="0"/>
                <w:color w:val="000000"/>
                <w:sz w:val="20"/>
                <w:szCs w:val="20"/>
                <w:u w:val="none"/>
              </w:rPr>
            </w:pPr>
          </w:p>
        </w:tc>
        <w:tc>
          <w:tcPr>
            <w:tcW w:w="1569" w:type="dxa"/>
            <w:shd w:val="clear" w:color="auto" w:fill="auto"/>
            <w:vAlign w:val="bottom"/>
          </w:tcPr>
          <w:p>
            <w:pPr>
              <w:rPr>
                <w:rFonts w:hint="default" w:ascii="Arial" w:hAnsi="Arial" w:cs="Arial"/>
                <w:i w:val="0"/>
                <w:color w:val="000000"/>
                <w:sz w:val="20"/>
                <w:szCs w:val="20"/>
                <w:u w:val="none"/>
              </w:rPr>
            </w:pPr>
          </w:p>
        </w:tc>
        <w:tc>
          <w:tcPr>
            <w:tcW w:w="1044" w:type="dxa"/>
            <w:shd w:val="clear" w:color="auto" w:fill="auto"/>
            <w:vAlign w:val="bottom"/>
          </w:tcPr>
          <w:p>
            <w:pPr>
              <w:rPr>
                <w:rFonts w:hint="default" w:ascii="Arial" w:hAnsi="Arial" w:cs="Arial"/>
                <w:i w:val="0"/>
                <w:color w:val="000000"/>
                <w:sz w:val="20"/>
                <w:szCs w:val="20"/>
                <w:u w:val="none"/>
              </w:rPr>
            </w:pPr>
          </w:p>
        </w:tc>
        <w:tc>
          <w:tcPr>
            <w:tcW w:w="1080" w:type="dxa"/>
            <w:shd w:val="clear" w:color="auto" w:fill="auto"/>
            <w:vAlign w:val="bottom"/>
          </w:tcPr>
          <w:p>
            <w:pPr>
              <w:rPr>
                <w:rFonts w:hint="default" w:ascii="Arial" w:hAnsi="Arial" w:cs="Arial"/>
                <w:i w:val="0"/>
                <w:color w:val="000000"/>
                <w:sz w:val="20"/>
                <w:szCs w:val="20"/>
                <w:u w:val="none"/>
              </w:rPr>
            </w:pPr>
          </w:p>
        </w:tc>
        <w:tc>
          <w:tcPr>
            <w:tcW w:w="1044" w:type="dxa"/>
            <w:shd w:val="clear" w:color="auto" w:fill="auto"/>
            <w:vAlign w:val="bottom"/>
          </w:tcPr>
          <w:p>
            <w:pPr>
              <w:rPr>
                <w:rFonts w:hint="default" w:ascii="Arial" w:hAnsi="Arial" w:cs="Arial"/>
                <w:i w:val="0"/>
                <w:color w:val="000000"/>
                <w:sz w:val="20"/>
                <w:szCs w:val="20"/>
                <w:u w:val="none"/>
              </w:rPr>
            </w:pPr>
          </w:p>
        </w:tc>
        <w:tc>
          <w:tcPr>
            <w:tcW w:w="1044" w:type="dxa"/>
            <w:shd w:val="clear" w:color="auto" w:fill="auto"/>
            <w:vAlign w:val="bottom"/>
          </w:tcPr>
          <w:p>
            <w:pPr>
              <w:rPr>
                <w:rFonts w:hint="default" w:ascii="Arial" w:hAnsi="Arial" w:cs="Arial"/>
                <w:i w:val="0"/>
                <w:color w:val="000000"/>
                <w:sz w:val="20"/>
                <w:szCs w:val="20"/>
                <w:u w:val="none"/>
              </w:rPr>
            </w:pPr>
          </w:p>
        </w:tc>
        <w:tc>
          <w:tcPr>
            <w:tcW w:w="1046" w:type="dxa"/>
            <w:shd w:val="clear" w:color="auto" w:fill="auto"/>
            <w:vAlign w:val="bottom"/>
          </w:tcPr>
          <w:p>
            <w:pPr>
              <w:rPr>
                <w:rFonts w:hint="default" w:ascii="Arial" w:hAnsi="Arial" w:cs="Arial"/>
                <w:i w:val="0"/>
                <w:color w:val="000000"/>
                <w:sz w:val="20"/>
                <w:szCs w:val="20"/>
                <w:u w:val="none"/>
              </w:rPr>
            </w:pPr>
          </w:p>
        </w:tc>
        <w:tc>
          <w:tcPr>
            <w:tcW w:w="1498"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8" w:hRule="atLeast"/>
        </w:trPr>
        <w:tc>
          <w:tcPr>
            <w:tcW w:w="150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部门：曲阜市图书馆</w:t>
            </w:r>
          </w:p>
        </w:tc>
        <w:tc>
          <w:tcPr>
            <w:tcW w:w="1080" w:type="dxa"/>
            <w:shd w:val="clear" w:color="auto" w:fill="auto"/>
            <w:vAlign w:val="bottom"/>
          </w:tcPr>
          <w:p>
            <w:pPr>
              <w:rPr>
                <w:rFonts w:hint="default" w:ascii="Arial" w:hAnsi="Arial" w:cs="Arial"/>
                <w:i w:val="0"/>
                <w:color w:val="000000"/>
                <w:sz w:val="20"/>
                <w:szCs w:val="20"/>
                <w:u w:val="none"/>
              </w:rPr>
            </w:pPr>
          </w:p>
        </w:tc>
        <w:tc>
          <w:tcPr>
            <w:tcW w:w="1044" w:type="dxa"/>
            <w:shd w:val="clear" w:color="auto" w:fill="auto"/>
            <w:vAlign w:val="bottom"/>
          </w:tcPr>
          <w:p>
            <w:pPr>
              <w:rPr>
                <w:rFonts w:hint="default" w:ascii="Arial" w:hAnsi="Arial" w:cs="Arial"/>
                <w:i w:val="0"/>
                <w:color w:val="000000"/>
                <w:sz w:val="20"/>
                <w:szCs w:val="20"/>
                <w:u w:val="none"/>
              </w:rPr>
            </w:pPr>
          </w:p>
        </w:tc>
        <w:tc>
          <w:tcPr>
            <w:tcW w:w="1044" w:type="dxa"/>
            <w:shd w:val="clear" w:color="auto" w:fill="auto"/>
            <w:vAlign w:val="bottom"/>
          </w:tcPr>
          <w:p>
            <w:pPr>
              <w:rPr>
                <w:rFonts w:hint="default" w:ascii="Arial" w:hAnsi="Arial" w:cs="Arial"/>
                <w:i w:val="0"/>
                <w:color w:val="000000"/>
                <w:sz w:val="20"/>
                <w:szCs w:val="20"/>
                <w:u w:val="none"/>
              </w:rPr>
            </w:pPr>
          </w:p>
        </w:tc>
        <w:tc>
          <w:tcPr>
            <w:tcW w:w="1047" w:type="dxa"/>
            <w:shd w:val="clear" w:color="auto" w:fill="auto"/>
            <w:vAlign w:val="bottom"/>
          </w:tcPr>
          <w:p>
            <w:pPr>
              <w:rPr>
                <w:rFonts w:hint="default" w:ascii="Arial" w:hAnsi="Arial" w:cs="Arial"/>
                <w:i w:val="0"/>
                <w:color w:val="000000"/>
                <w:sz w:val="20"/>
                <w:szCs w:val="20"/>
                <w:u w:val="none"/>
              </w:rPr>
            </w:pPr>
          </w:p>
        </w:tc>
        <w:tc>
          <w:tcPr>
            <w:tcW w:w="1569" w:type="dxa"/>
            <w:shd w:val="clear" w:color="auto" w:fill="auto"/>
            <w:vAlign w:val="bottom"/>
          </w:tcPr>
          <w:p>
            <w:pPr>
              <w:rPr>
                <w:rFonts w:hint="default" w:ascii="Arial" w:hAnsi="Arial" w:cs="Arial"/>
                <w:i w:val="0"/>
                <w:color w:val="000000"/>
                <w:sz w:val="20"/>
                <w:szCs w:val="20"/>
                <w:u w:val="none"/>
              </w:rPr>
            </w:pPr>
          </w:p>
        </w:tc>
        <w:tc>
          <w:tcPr>
            <w:tcW w:w="1044" w:type="dxa"/>
            <w:shd w:val="clear" w:color="auto" w:fill="auto"/>
            <w:vAlign w:val="bottom"/>
          </w:tcPr>
          <w:p>
            <w:pPr>
              <w:rPr>
                <w:rFonts w:hint="default" w:ascii="Arial" w:hAnsi="Arial" w:cs="Arial"/>
                <w:i w:val="0"/>
                <w:color w:val="000000"/>
                <w:sz w:val="20"/>
                <w:szCs w:val="20"/>
                <w:u w:val="none"/>
              </w:rPr>
            </w:pPr>
          </w:p>
        </w:tc>
        <w:tc>
          <w:tcPr>
            <w:tcW w:w="1080" w:type="dxa"/>
            <w:shd w:val="clear" w:color="auto" w:fill="auto"/>
            <w:vAlign w:val="bottom"/>
          </w:tcPr>
          <w:p>
            <w:pPr>
              <w:rPr>
                <w:rFonts w:hint="default" w:ascii="Arial" w:hAnsi="Arial" w:cs="Arial"/>
                <w:i w:val="0"/>
                <w:color w:val="000000"/>
                <w:sz w:val="20"/>
                <w:szCs w:val="20"/>
                <w:u w:val="none"/>
              </w:rPr>
            </w:pPr>
          </w:p>
        </w:tc>
        <w:tc>
          <w:tcPr>
            <w:tcW w:w="1044" w:type="dxa"/>
            <w:shd w:val="clear" w:color="auto" w:fill="auto"/>
            <w:vAlign w:val="bottom"/>
          </w:tcPr>
          <w:p>
            <w:pPr>
              <w:rPr>
                <w:rFonts w:hint="default" w:ascii="Arial" w:hAnsi="Arial" w:cs="Arial"/>
                <w:i w:val="0"/>
                <w:color w:val="000000"/>
                <w:sz w:val="20"/>
                <w:szCs w:val="20"/>
                <w:u w:val="none"/>
              </w:rPr>
            </w:pPr>
          </w:p>
        </w:tc>
        <w:tc>
          <w:tcPr>
            <w:tcW w:w="1044" w:type="dxa"/>
            <w:shd w:val="clear" w:color="auto" w:fill="auto"/>
            <w:vAlign w:val="bottom"/>
          </w:tcPr>
          <w:p>
            <w:pPr>
              <w:rPr>
                <w:rFonts w:hint="default" w:ascii="Arial" w:hAnsi="Arial" w:cs="Arial"/>
                <w:i w:val="0"/>
                <w:color w:val="000000"/>
                <w:sz w:val="20"/>
                <w:szCs w:val="20"/>
                <w:u w:val="none"/>
              </w:rPr>
            </w:pPr>
          </w:p>
        </w:tc>
        <w:tc>
          <w:tcPr>
            <w:tcW w:w="1046" w:type="dxa"/>
            <w:shd w:val="clear" w:color="auto" w:fill="auto"/>
            <w:vAlign w:val="bottom"/>
          </w:tcPr>
          <w:p>
            <w:pPr>
              <w:rPr>
                <w:rFonts w:hint="default" w:ascii="Arial" w:hAnsi="Arial" w:cs="Arial"/>
                <w:i w:val="0"/>
                <w:color w:val="000000"/>
                <w:sz w:val="20"/>
                <w:szCs w:val="20"/>
                <w:u w:val="none"/>
              </w:rPr>
            </w:pPr>
          </w:p>
        </w:tc>
        <w:tc>
          <w:tcPr>
            <w:tcW w:w="1498"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7284"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756"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1500"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35"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6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4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34"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9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4" w:hRule="atLeast"/>
        </w:trPr>
        <w:tc>
          <w:tcPr>
            <w:tcW w:w="1500"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8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04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6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4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8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0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9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150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4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8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0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5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0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w:t>
            </w:r>
          </w:p>
        </w:tc>
        <w:tc>
          <w:tcPr>
            <w:tcW w:w="10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w:t>
            </w:r>
          </w:p>
        </w:tc>
        <w:tc>
          <w:tcPr>
            <w:tcW w:w="14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4" w:hRule="atLeast"/>
        </w:trPr>
        <w:tc>
          <w:tcPr>
            <w:tcW w:w="1404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eastAsia="宋体"/>
          <w:lang w:eastAsia="zh-CN"/>
        </w:rPr>
      </w:pPr>
    </w:p>
    <w:p>
      <w:pPr>
        <w:rPr>
          <w:rFonts w:hint="eastAsia" w:eastAsia="宋体"/>
          <w:lang w:eastAsia="zh-CN"/>
        </w:rPr>
        <w:sectPr>
          <w:pgSz w:w="16838" w:h="11906" w:orient="landscape"/>
          <w:pgMar w:top="1531" w:right="1701" w:bottom="1531" w:left="1701" w:header="851" w:footer="992" w:gutter="0"/>
          <w:cols w:space="425" w:num="1"/>
          <w:docGrid w:type="lines" w:linePitch="312" w:charSpace="0"/>
        </w:sectPr>
      </w:pPr>
    </w:p>
    <w:p>
      <w:pPr>
        <w:jc w:val="left"/>
        <w:rPr>
          <w:rFonts w:hint="eastAsia" w:ascii="方正小标宋简体" w:eastAsia="方正小标宋简体"/>
          <w:spacing w:val="60"/>
          <w:sz w:val="48"/>
          <w:szCs w:val="48"/>
        </w:rPr>
      </w:pPr>
      <w:r>
        <w:rPr>
          <w:rFonts w:hint="eastAsia" w:ascii="方正小标宋简体" w:eastAsia="方正小标宋简体"/>
          <w:spacing w:val="60"/>
          <w:sz w:val="48"/>
          <w:szCs w:val="48"/>
        </w:rPr>
        <w:t>第三部分</w:t>
      </w:r>
    </w:p>
    <w:p>
      <w:pPr>
        <w:jc w:val="center"/>
        <w:rPr>
          <w:rFonts w:hint="eastAsia" w:ascii="方正小标宋简体" w:eastAsia="方正小标宋简体"/>
          <w:spacing w:val="60"/>
          <w:sz w:val="48"/>
          <w:szCs w:val="48"/>
        </w:rPr>
      </w:pPr>
    </w:p>
    <w:p>
      <w:pPr>
        <w:jc w:val="center"/>
        <w:rPr>
          <w:rFonts w:hint="eastAsia" w:ascii="方正小标宋简体" w:eastAsia="方正小标宋简体"/>
          <w:spacing w:val="60"/>
          <w:sz w:val="48"/>
          <w:szCs w:val="48"/>
        </w:rPr>
      </w:pPr>
    </w:p>
    <w:p>
      <w:pPr>
        <w:jc w:val="center"/>
        <w:rPr>
          <w:rFonts w:hint="eastAsia" w:ascii="方正小标宋简体" w:eastAsia="方正小标宋简体"/>
          <w:spacing w:val="60"/>
          <w:sz w:val="48"/>
          <w:szCs w:val="48"/>
        </w:rPr>
      </w:pPr>
    </w:p>
    <w:p>
      <w:pPr>
        <w:jc w:val="center"/>
        <w:rPr>
          <w:rFonts w:hint="eastAsia" w:ascii="方正小标宋简体" w:eastAsia="方正小标宋简体"/>
          <w:spacing w:val="60"/>
          <w:sz w:val="48"/>
          <w:szCs w:val="48"/>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szCs w:val="48"/>
        </w:rPr>
        <w:t>2018年度部门决算情况说明</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收入支出决算总体情况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2018年度收、支总计 </w:t>
      </w:r>
      <w:r>
        <w:rPr>
          <w:rFonts w:hint="eastAsia" w:ascii="仿宋_GB2312" w:eastAsia="仿宋_GB2312"/>
          <w:sz w:val="32"/>
          <w:szCs w:val="32"/>
          <w:lang w:val="en-US" w:eastAsia="zh-CN"/>
        </w:rPr>
        <w:t>375.12</w:t>
      </w:r>
      <w:r>
        <w:rPr>
          <w:rFonts w:hint="eastAsia" w:ascii="仿宋_GB2312" w:eastAsia="仿宋_GB2312"/>
          <w:sz w:val="32"/>
          <w:szCs w:val="32"/>
        </w:rPr>
        <w:t>万元。与2017年相比，收、支总计各减少</w:t>
      </w:r>
      <w:r>
        <w:rPr>
          <w:rFonts w:hint="eastAsia" w:ascii="仿宋_GB2312" w:eastAsia="仿宋_GB2312"/>
          <w:sz w:val="32"/>
          <w:szCs w:val="32"/>
          <w:lang w:val="en-US" w:eastAsia="zh-CN"/>
        </w:rPr>
        <w:t>223.08</w:t>
      </w:r>
      <w:r>
        <w:rPr>
          <w:rFonts w:hint="eastAsia" w:ascii="仿宋_GB2312" w:eastAsia="仿宋_GB2312"/>
          <w:sz w:val="32"/>
          <w:szCs w:val="32"/>
        </w:rPr>
        <w:t>万元，减少</w:t>
      </w:r>
      <w:r>
        <w:rPr>
          <w:rFonts w:hint="eastAsia" w:ascii="仿宋_GB2312" w:eastAsia="仿宋_GB2312"/>
          <w:sz w:val="32"/>
          <w:szCs w:val="32"/>
          <w:lang w:val="en-US" w:eastAsia="zh-CN"/>
        </w:rPr>
        <w:t>37.30</w:t>
      </w:r>
      <w:r>
        <w:rPr>
          <w:rFonts w:hint="eastAsia" w:ascii="仿宋_GB2312" w:eastAsia="仿宋_GB2312"/>
          <w:sz w:val="32"/>
          <w:szCs w:val="32"/>
        </w:rPr>
        <w:t xml:space="preserve"> %。主要是</w:t>
      </w:r>
      <w:r>
        <w:rPr>
          <w:rFonts w:hint="eastAsia" w:ascii="仿宋_GB2312" w:eastAsia="仿宋_GB2312"/>
          <w:sz w:val="32"/>
          <w:szCs w:val="32"/>
          <w:lang w:eastAsia="zh-CN"/>
        </w:rPr>
        <w:t>评估定级结束，经费</w:t>
      </w:r>
      <w:r>
        <w:rPr>
          <w:rFonts w:hint="eastAsia" w:ascii="仿宋_GB2312" w:eastAsia="仿宋_GB2312"/>
          <w:sz w:val="32"/>
          <w:szCs w:val="32"/>
        </w:rPr>
        <w:t>减少。</w:t>
      </w:r>
    </w:p>
    <w:p>
      <w:pPr>
        <w:spacing w:line="580" w:lineRule="exact"/>
        <w:ind w:firstLine="640" w:firstLineChars="200"/>
        <w:rPr>
          <w:rFonts w:hint="eastAsia" w:ascii="仿宋_GB2312" w:eastAsia="仿宋_GB2312"/>
          <w:sz w:val="32"/>
          <w:szCs w:val="32"/>
          <w:lang w:eastAsia="zh-CN"/>
        </w:rPr>
      </w:pPr>
      <w:r>
        <w:drawing>
          <wp:anchor distT="0" distB="0" distL="114300" distR="114300" simplePos="0" relativeHeight="251661312" behindDoc="0" locked="0" layoutInCell="1" allowOverlap="1">
            <wp:simplePos x="0" y="0"/>
            <wp:positionH relativeFrom="column">
              <wp:posOffset>582295</wp:posOffset>
            </wp:positionH>
            <wp:positionV relativeFrom="paragraph">
              <wp:posOffset>32385</wp:posOffset>
            </wp:positionV>
            <wp:extent cx="4467225" cy="2505075"/>
            <wp:effectExtent l="4445" t="4445" r="5080" b="5080"/>
            <wp:wrapNone/>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80" w:lineRule="exact"/>
        <w:ind w:firstLine="640" w:firstLineChars="200"/>
        <w:rPr>
          <w:rFonts w:hint="eastAsia" w:ascii="仿宋_GB2312" w:eastAsia="仿宋_GB2312"/>
          <w:sz w:val="32"/>
          <w:szCs w:val="32"/>
          <w:lang w:eastAsia="zh-CN"/>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rPr>
          <w:rFonts w:hint="eastAsia" w:ascii="仿宋_GB2312" w:eastAsia="仿宋_GB2312"/>
          <w:sz w:val="32"/>
          <w:szCs w:val="32"/>
          <w:lang w:eastAsia="zh-CN"/>
        </w:rPr>
      </w:pPr>
    </w:p>
    <w:p>
      <w:pPr>
        <w:spacing w:line="580" w:lineRule="exact"/>
        <w:ind w:firstLine="640" w:firstLineChars="200"/>
        <w:rPr>
          <w:rFonts w:hint="eastAsia" w:ascii="黑体" w:hAnsi="黑体" w:eastAsia="黑体" w:cs="黑体"/>
          <w:sz w:val="32"/>
          <w:szCs w:val="32"/>
          <w:lang w:eastAsia="zh-CN"/>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收入决算情况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本年收入合计</w:t>
      </w:r>
      <w:r>
        <w:rPr>
          <w:rFonts w:hint="eastAsia" w:ascii="仿宋_GB2312" w:eastAsia="仿宋_GB2312"/>
          <w:sz w:val="32"/>
          <w:szCs w:val="32"/>
          <w:lang w:val="en-US" w:eastAsia="zh-CN"/>
        </w:rPr>
        <w:t>185.42</w:t>
      </w:r>
      <w:r>
        <w:rPr>
          <w:rFonts w:hint="eastAsia" w:ascii="仿宋_GB2312" w:eastAsia="仿宋_GB2312"/>
          <w:sz w:val="32"/>
          <w:szCs w:val="32"/>
        </w:rPr>
        <w:t>万元，其中：财政拨款收入</w:t>
      </w:r>
      <w:r>
        <w:rPr>
          <w:rFonts w:hint="eastAsia" w:ascii="仿宋_GB2312" w:eastAsia="仿宋_GB2312"/>
          <w:sz w:val="32"/>
          <w:szCs w:val="32"/>
          <w:lang w:val="en-US" w:eastAsia="zh-CN"/>
        </w:rPr>
        <w:t>185.42</w:t>
      </w:r>
      <w:r>
        <w:rPr>
          <w:rFonts w:hint="eastAsia" w:ascii="仿宋_GB2312" w:eastAsia="仿宋_GB2312"/>
          <w:sz w:val="32"/>
          <w:szCs w:val="32"/>
        </w:rPr>
        <w:t xml:space="preserve"> 万元，占</w:t>
      </w:r>
      <w:r>
        <w:rPr>
          <w:rFonts w:hint="eastAsia" w:ascii="仿宋_GB2312" w:eastAsia="仿宋_GB2312"/>
          <w:sz w:val="32"/>
          <w:szCs w:val="32"/>
          <w:lang w:val="en-US" w:eastAsia="zh-CN"/>
        </w:rPr>
        <w:t>100</w:t>
      </w:r>
      <w:r>
        <w:rPr>
          <w:rFonts w:hint="eastAsia" w:ascii="仿宋_GB2312" w:eastAsia="仿宋_GB2312"/>
          <w:sz w:val="32"/>
          <w:szCs w:val="32"/>
        </w:rPr>
        <w:t xml:space="preserve"> %；上级补助收入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万元，占 </w:t>
      </w:r>
      <w:r>
        <w:rPr>
          <w:rFonts w:hint="eastAsia" w:ascii="仿宋_GB2312" w:eastAsia="仿宋_GB2312"/>
          <w:sz w:val="32"/>
          <w:szCs w:val="32"/>
          <w:lang w:val="en-US" w:eastAsia="zh-CN"/>
        </w:rPr>
        <w:t>0</w:t>
      </w:r>
      <w:r>
        <w:rPr>
          <w:rFonts w:hint="eastAsia" w:ascii="仿宋_GB2312" w:eastAsia="仿宋_GB2312"/>
          <w:sz w:val="32"/>
          <w:szCs w:val="32"/>
        </w:rPr>
        <w:t xml:space="preserve"> %；其他收入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万元，占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spacing w:line="580" w:lineRule="exact"/>
        <w:ind w:firstLine="640" w:firstLineChars="200"/>
        <w:rPr>
          <w:rFonts w:hint="eastAsia" w:ascii="仿宋_GB2312" w:eastAsia="仿宋_GB2312"/>
          <w:sz w:val="32"/>
          <w:szCs w:val="32"/>
          <w:lang w:eastAsia="zh-CN"/>
        </w:rPr>
      </w:pPr>
      <w:r>
        <w:drawing>
          <wp:anchor distT="0" distB="0" distL="114300" distR="114300" simplePos="0" relativeHeight="251662336" behindDoc="0" locked="0" layoutInCell="1" allowOverlap="1">
            <wp:simplePos x="0" y="0"/>
            <wp:positionH relativeFrom="column">
              <wp:posOffset>582295</wp:posOffset>
            </wp:positionH>
            <wp:positionV relativeFrom="paragraph">
              <wp:posOffset>88900</wp:posOffset>
            </wp:positionV>
            <wp:extent cx="4391660" cy="2410460"/>
            <wp:effectExtent l="5080" t="5080" r="22860" b="22860"/>
            <wp:wrapNone/>
            <wp:docPr id="2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80" w:lineRule="exact"/>
        <w:ind w:firstLine="640" w:firstLineChars="200"/>
        <w:rPr>
          <w:rFonts w:hint="eastAsia" w:ascii="仿宋_GB2312" w:eastAsia="仿宋_GB2312"/>
          <w:sz w:val="32"/>
          <w:szCs w:val="32"/>
          <w:lang w:eastAsia="zh-CN"/>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0" w:firstLineChars="200"/>
        <w:rPr>
          <w:rFonts w:hint="eastAsia" w:ascii="黑体" w:hAnsi="黑体" w:eastAsia="黑体" w:cs="黑体"/>
          <w:sz w:val="32"/>
          <w:szCs w:val="32"/>
          <w:lang w:eastAsia="zh-CN"/>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支出决算情况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189.70</w:t>
      </w:r>
      <w:r>
        <w:rPr>
          <w:rFonts w:hint="eastAsia" w:ascii="仿宋_GB2312" w:eastAsia="仿宋_GB2312"/>
          <w:sz w:val="32"/>
          <w:szCs w:val="32"/>
        </w:rPr>
        <w:t xml:space="preserve"> 万元，其中：基本支出 </w:t>
      </w:r>
      <w:r>
        <w:rPr>
          <w:rFonts w:hint="eastAsia" w:ascii="仿宋_GB2312" w:eastAsia="仿宋_GB2312"/>
          <w:sz w:val="32"/>
          <w:szCs w:val="32"/>
          <w:lang w:val="en-US" w:eastAsia="zh-CN"/>
        </w:rPr>
        <w:t>161.90</w:t>
      </w:r>
      <w:r>
        <w:rPr>
          <w:rFonts w:hint="eastAsia" w:ascii="仿宋_GB2312" w:eastAsia="仿宋_GB2312"/>
          <w:sz w:val="32"/>
          <w:szCs w:val="32"/>
        </w:rPr>
        <w:t xml:space="preserve">万元，占 </w:t>
      </w:r>
      <w:r>
        <w:rPr>
          <w:rFonts w:hint="eastAsia" w:ascii="仿宋_GB2312" w:eastAsia="仿宋_GB2312"/>
          <w:sz w:val="32"/>
          <w:szCs w:val="32"/>
          <w:lang w:val="en-US" w:eastAsia="zh-CN"/>
        </w:rPr>
        <w:t>85.34</w:t>
      </w:r>
      <w:r>
        <w:rPr>
          <w:rFonts w:hint="eastAsia" w:ascii="仿宋_GB2312" w:eastAsia="仿宋_GB2312"/>
          <w:sz w:val="32"/>
          <w:szCs w:val="32"/>
        </w:rPr>
        <w:t xml:space="preserve"> %；项目支出 </w:t>
      </w:r>
      <w:r>
        <w:rPr>
          <w:rFonts w:hint="eastAsia" w:ascii="仿宋_GB2312" w:eastAsia="仿宋_GB2312"/>
          <w:sz w:val="32"/>
          <w:szCs w:val="32"/>
          <w:lang w:val="en-US" w:eastAsia="zh-CN"/>
        </w:rPr>
        <w:t>27.80</w:t>
      </w:r>
      <w:r>
        <w:rPr>
          <w:rFonts w:hint="eastAsia" w:ascii="仿宋_GB2312" w:eastAsia="仿宋_GB2312"/>
          <w:sz w:val="32"/>
          <w:szCs w:val="32"/>
        </w:rPr>
        <w:t xml:space="preserve">万元，占 </w:t>
      </w:r>
      <w:r>
        <w:rPr>
          <w:rFonts w:hint="eastAsia" w:ascii="仿宋_GB2312" w:eastAsia="仿宋_GB2312"/>
          <w:sz w:val="32"/>
          <w:szCs w:val="32"/>
          <w:lang w:val="en-US" w:eastAsia="zh-CN"/>
        </w:rPr>
        <w:t>14.66</w:t>
      </w:r>
      <w:r>
        <w:rPr>
          <w:rFonts w:hint="eastAsia" w:ascii="仿宋_GB2312" w:eastAsia="仿宋_GB2312"/>
          <w:sz w:val="32"/>
          <w:szCs w:val="32"/>
        </w:rPr>
        <w:t xml:space="preserve"> %；对附属单位补助支出 </w:t>
      </w:r>
      <w:r>
        <w:rPr>
          <w:rFonts w:hint="eastAsia" w:ascii="仿宋_GB2312" w:eastAsia="仿宋_GB2312"/>
          <w:sz w:val="32"/>
          <w:szCs w:val="32"/>
          <w:lang w:val="en-US" w:eastAsia="zh-CN"/>
        </w:rPr>
        <w:t>0</w:t>
      </w:r>
      <w:r>
        <w:rPr>
          <w:rFonts w:hint="eastAsia" w:ascii="仿宋_GB2312" w:eastAsia="仿宋_GB2312"/>
          <w:sz w:val="32"/>
          <w:szCs w:val="32"/>
        </w:rPr>
        <w:t xml:space="preserve">万元，占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spacing w:line="580" w:lineRule="exact"/>
        <w:ind w:firstLine="640" w:firstLineChars="200"/>
        <w:rPr>
          <w:rFonts w:hint="eastAsia" w:ascii="仿宋_GB2312" w:eastAsia="仿宋_GB2312"/>
          <w:b/>
          <w:sz w:val="32"/>
          <w:szCs w:val="32"/>
        </w:rPr>
      </w:pPr>
      <w:r>
        <w:drawing>
          <wp:anchor distT="0" distB="0" distL="114300" distR="114300" simplePos="0" relativeHeight="251663360" behindDoc="0" locked="0" layoutInCell="1" allowOverlap="1">
            <wp:simplePos x="0" y="0"/>
            <wp:positionH relativeFrom="column">
              <wp:posOffset>572770</wp:posOffset>
            </wp:positionH>
            <wp:positionV relativeFrom="paragraph">
              <wp:posOffset>51435</wp:posOffset>
            </wp:positionV>
            <wp:extent cx="4467225" cy="2524125"/>
            <wp:effectExtent l="4445" t="4445" r="5080" b="5080"/>
            <wp:wrapNone/>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b/>
          <w:sz w:val="32"/>
          <w:szCs w:val="32"/>
        </w:rPr>
        <w:t xml:space="preserve"> </w:t>
      </w:r>
    </w:p>
    <w:p>
      <w:pPr>
        <w:spacing w:line="580" w:lineRule="exact"/>
        <w:ind w:firstLine="643" w:firstLineChars="200"/>
        <w:rPr>
          <w:rFonts w:hint="eastAsia" w:ascii="仿宋_GB2312" w:eastAsia="仿宋_GB2312"/>
          <w:b/>
          <w:sz w:val="32"/>
          <w:szCs w:val="32"/>
          <w:lang w:eastAsia="zh-CN"/>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0" w:firstLineChars="200"/>
        <w:rPr>
          <w:rFonts w:hint="eastAsia" w:ascii="黑体" w:hAnsi="黑体" w:eastAsia="黑体" w:cs="黑体"/>
          <w:sz w:val="32"/>
          <w:szCs w:val="32"/>
          <w:lang w:eastAsia="zh-CN"/>
        </w:rPr>
      </w:pPr>
    </w:p>
    <w:p>
      <w:pPr>
        <w:spacing w:line="580" w:lineRule="exact"/>
        <w:ind w:firstLine="640" w:firstLineChars="200"/>
        <w:rPr>
          <w:rFonts w:hint="eastAsia" w:ascii="黑体" w:hAnsi="黑体" w:eastAsia="黑体" w:cs="黑体"/>
          <w:sz w:val="32"/>
          <w:szCs w:val="32"/>
          <w:lang w:eastAsia="zh-CN"/>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财政拨款收入支出决算总体情况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2018年度财政拨款收、支总计</w:t>
      </w:r>
      <w:r>
        <w:rPr>
          <w:rFonts w:hint="eastAsia" w:ascii="仿宋_GB2312" w:eastAsia="仿宋_GB2312"/>
          <w:sz w:val="32"/>
          <w:szCs w:val="32"/>
          <w:lang w:val="en-US" w:eastAsia="zh-CN"/>
        </w:rPr>
        <w:t>375.12</w:t>
      </w:r>
      <w:r>
        <w:rPr>
          <w:rFonts w:hint="eastAsia" w:ascii="仿宋_GB2312" w:eastAsia="仿宋_GB2312"/>
          <w:sz w:val="32"/>
          <w:szCs w:val="32"/>
        </w:rPr>
        <w:t>万元。与2017年相比，财政拨款收、支总计各减少</w:t>
      </w:r>
      <w:r>
        <w:rPr>
          <w:rFonts w:hint="eastAsia" w:ascii="仿宋_GB2312" w:eastAsia="仿宋_GB2312"/>
          <w:sz w:val="32"/>
          <w:szCs w:val="32"/>
          <w:lang w:val="en-US" w:eastAsia="zh-CN"/>
        </w:rPr>
        <w:t>223.08</w:t>
      </w:r>
      <w:r>
        <w:rPr>
          <w:rFonts w:hint="eastAsia" w:ascii="仿宋_GB2312" w:eastAsia="仿宋_GB2312"/>
          <w:sz w:val="32"/>
          <w:szCs w:val="32"/>
        </w:rPr>
        <w:t>万元，减少</w:t>
      </w:r>
      <w:r>
        <w:rPr>
          <w:rFonts w:hint="eastAsia" w:ascii="仿宋_GB2312" w:eastAsia="仿宋_GB2312"/>
          <w:sz w:val="32"/>
          <w:szCs w:val="32"/>
          <w:lang w:val="en-US" w:eastAsia="zh-CN"/>
        </w:rPr>
        <w:t>37.30</w:t>
      </w:r>
      <w:r>
        <w:rPr>
          <w:rFonts w:hint="eastAsia" w:ascii="仿宋_GB2312" w:eastAsia="仿宋_GB2312"/>
          <w:sz w:val="32"/>
          <w:szCs w:val="32"/>
        </w:rPr>
        <w:t>%。主要是</w:t>
      </w:r>
      <w:r>
        <w:rPr>
          <w:rFonts w:hint="eastAsia" w:ascii="仿宋_GB2312" w:eastAsia="仿宋_GB2312"/>
          <w:sz w:val="32"/>
          <w:szCs w:val="32"/>
          <w:lang w:eastAsia="zh-CN"/>
        </w:rPr>
        <w:t>评估定级结束，经费</w:t>
      </w:r>
      <w:r>
        <w:rPr>
          <w:rFonts w:hint="eastAsia" w:ascii="仿宋_GB2312" w:eastAsia="仿宋_GB2312"/>
          <w:sz w:val="32"/>
          <w:szCs w:val="32"/>
        </w:rPr>
        <w:t>减少。</w:t>
      </w:r>
    </w:p>
    <w:p>
      <w:pPr>
        <w:spacing w:line="580" w:lineRule="exact"/>
        <w:ind w:firstLine="640" w:firstLineChars="200"/>
        <w:rPr>
          <w:rFonts w:hint="eastAsia" w:ascii="仿宋_GB2312" w:eastAsia="仿宋_GB2312"/>
          <w:sz w:val="32"/>
          <w:szCs w:val="32"/>
          <w:lang w:eastAsia="zh-CN"/>
        </w:rPr>
      </w:pPr>
      <w:r>
        <w:drawing>
          <wp:anchor distT="0" distB="0" distL="114300" distR="114300" simplePos="0" relativeHeight="251664384" behindDoc="0" locked="0" layoutInCell="1" allowOverlap="1">
            <wp:simplePos x="0" y="0"/>
            <wp:positionH relativeFrom="column">
              <wp:posOffset>554355</wp:posOffset>
            </wp:positionH>
            <wp:positionV relativeFrom="paragraph">
              <wp:posOffset>146685</wp:posOffset>
            </wp:positionV>
            <wp:extent cx="4504690" cy="2639060"/>
            <wp:effectExtent l="4445" t="4445" r="5715" b="23495"/>
            <wp:wrapNone/>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80" w:lineRule="exact"/>
        <w:ind w:firstLine="640" w:firstLineChars="200"/>
        <w:rPr>
          <w:rFonts w:hint="eastAsia" w:ascii="仿宋_GB2312" w:eastAsia="仿宋_GB2312"/>
          <w:sz w:val="32"/>
          <w:szCs w:val="32"/>
          <w:lang w:eastAsia="zh-CN"/>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0" w:firstLineChars="200"/>
        <w:rPr>
          <w:rFonts w:hint="eastAsia" w:ascii="黑体" w:hAnsi="黑体" w:eastAsia="黑体" w:cs="黑体"/>
          <w:sz w:val="32"/>
          <w:szCs w:val="32"/>
          <w:lang w:eastAsia="zh-CN"/>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一般公共预算财政拨款支出决算情况</w:t>
      </w:r>
    </w:p>
    <w:p>
      <w:pPr>
        <w:ind w:firstLine="640" w:firstLineChars="200"/>
        <w:rPr>
          <w:rFonts w:hint="eastAsia" w:ascii="楷体_GB2312" w:eastAsia="楷体_GB2312"/>
          <w:szCs w:val="32"/>
        </w:rPr>
      </w:pPr>
      <w:r>
        <w:rPr>
          <w:rFonts w:hint="eastAsia" w:ascii="楷体_GB2312" w:eastAsia="楷体_GB2312"/>
          <w:szCs w:val="32"/>
          <w:lang w:eastAsia="zh-CN"/>
        </w:rPr>
        <w:t>（一）</w:t>
      </w:r>
      <w:r>
        <w:rPr>
          <w:rFonts w:hint="eastAsia" w:ascii="楷体_GB2312" w:eastAsia="楷体_GB2312"/>
          <w:szCs w:val="32"/>
        </w:rPr>
        <w:t>一般公共预算财政拨款支出决算总体情况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2018年度一般公共预算财政拨款支出</w:t>
      </w:r>
      <w:r>
        <w:rPr>
          <w:rFonts w:hint="eastAsia" w:ascii="仿宋_GB2312" w:eastAsia="仿宋_GB2312"/>
          <w:sz w:val="32"/>
          <w:szCs w:val="32"/>
          <w:lang w:val="en-US" w:eastAsia="zh-CN"/>
        </w:rPr>
        <w:t>189.70</w:t>
      </w:r>
      <w:r>
        <w:rPr>
          <w:rFonts w:hint="eastAsia" w:ascii="仿宋_GB2312" w:eastAsia="仿宋_GB2312"/>
          <w:sz w:val="32"/>
          <w:szCs w:val="32"/>
        </w:rPr>
        <w:t xml:space="preserve">万元，占本年支出合计的 </w:t>
      </w:r>
      <w:r>
        <w:rPr>
          <w:rFonts w:hint="eastAsia" w:ascii="仿宋_GB2312" w:eastAsia="仿宋_GB2312"/>
          <w:sz w:val="32"/>
          <w:szCs w:val="32"/>
          <w:lang w:val="en-US" w:eastAsia="zh-CN"/>
        </w:rPr>
        <w:t>100</w:t>
      </w:r>
      <w:r>
        <w:rPr>
          <w:rFonts w:hint="eastAsia" w:ascii="仿宋_GB2312" w:eastAsia="仿宋_GB2312"/>
          <w:sz w:val="32"/>
          <w:szCs w:val="32"/>
        </w:rPr>
        <w:t xml:space="preserve"> %。与2017年相比，一般公共预算财政拨款支出减少</w:t>
      </w:r>
      <w:r>
        <w:rPr>
          <w:rFonts w:hint="eastAsia" w:ascii="仿宋_GB2312" w:eastAsia="仿宋_GB2312"/>
          <w:sz w:val="32"/>
          <w:szCs w:val="32"/>
          <w:lang w:val="en-US" w:eastAsia="zh-CN"/>
        </w:rPr>
        <w:t>111.90</w:t>
      </w:r>
      <w:r>
        <w:rPr>
          <w:rFonts w:hint="eastAsia" w:ascii="仿宋_GB2312" w:eastAsia="仿宋_GB2312"/>
          <w:sz w:val="32"/>
          <w:szCs w:val="32"/>
        </w:rPr>
        <w:t>万元，减少</w:t>
      </w:r>
      <w:r>
        <w:rPr>
          <w:rFonts w:hint="eastAsia" w:ascii="仿宋_GB2312" w:eastAsia="仿宋_GB2312"/>
          <w:sz w:val="32"/>
          <w:szCs w:val="32"/>
          <w:lang w:val="en-US" w:eastAsia="zh-CN"/>
        </w:rPr>
        <w:t>37.1</w:t>
      </w:r>
      <w:r>
        <w:rPr>
          <w:rFonts w:hint="eastAsia" w:ascii="仿宋_GB2312" w:eastAsia="仿宋_GB2312"/>
          <w:sz w:val="32"/>
          <w:szCs w:val="32"/>
        </w:rPr>
        <w:t>%。主要是</w:t>
      </w:r>
      <w:r>
        <w:rPr>
          <w:rFonts w:hint="eastAsia" w:ascii="仿宋_GB2312" w:eastAsia="仿宋_GB2312"/>
          <w:sz w:val="32"/>
          <w:szCs w:val="32"/>
          <w:lang w:eastAsia="zh-CN"/>
        </w:rPr>
        <w:t>评估定级结束，经费</w:t>
      </w:r>
      <w:r>
        <w:rPr>
          <w:rFonts w:hint="eastAsia" w:ascii="仿宋_GB2312" w:eastAsia="仿宋_GB2312"/>
          <w:sz w:val="32"/>
          <w:szCs w:val="32"/>
        </w:rPr>
        <w:t>减少。</w:t>
      </w:r>
    </w:p>
    <w:p>
      <w:pPr>
        <w:spacing w:line="580" w:lineRule="exact"/>
        <w:ind w:firstLine="640" w:firstLineChars="200"/>
        <w:rPr>
          <w:rFonts w:hint="eastAsia" w:ascii="仿宋_GB2312" w:eastAsia="仿宋_GB2312"/>
          <w:sz w:val="32"/>
          <w:szCs w:val="32"/>
        </w:rPr>
      </w:pPr>
      <w:r>
        <w:drawing>
          <wp:anchor distT="0" distB="0" distL="114300" distR="114300" simplePos="0" relativeHeight="251665408" behindDoc="0" locked="0" layoutInCell="1" allowOverlap="1">
            <wp:simplePos x="0" y="0"/>
            <wp:positionH relativeFrom="column">
              <wp:posOffset>591820</wp:posOffset>
            </wp:positionH>
            <wp:positionV relativeFrom="paragraph">
              <wp:posOffset>25400</wp:posOffset>
            </wp:positionV>
            <wp:extent cx="4381500" cy="2353310"/>
            <wp:effectExtent l="4445" t="4445" r="14605" b="2349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rPr>
          <w:rFonts w:hint="eastAsia" w:ascii="仿宋_GB2312" w:eastAsia="仿宋_GB2312"/>
          <w:sz w:val="32"/>
          <w:szCs w:val="32"/>
          <w:lang w:eastAsia="zh-CN"/>
        </w:rPr>
      </w:pPr>
    </w:p>
    <w:p>
      <w:pPr>
        <w:spacing w:line="580" w:lineRule="exact"/>
        <w:ind w:firstLine="640" w:firstLineChars="200"/>
        <w:rPr>
          <w:rFonts w:hint="eastAsia" w:ascii="仿宋_GB2312" w:eastAsia="仿宋_GB2312"/>
          <w:sz w:val="32"/>
          <w:szCs w:val="32"/>
        </w:rPr>
      </w:pPr>
    </w:p>
    <w:p>
      <w:pPr>
        <w:ind w:firstLine="640" w:firstLineChars="200"/>
        <w:rPr>
          <w:rFonts w:hint="eastAsia" w:ascii="楷体_GB2312" w:eastAsia="楷体_GB2312"/>
          <w:szCs w:val="32"/>
          <w:lang w:eastAsia="zh-CN"/>
        </w:rPr>
      </w:pPr>
    </w:p>
    <w:p>
      <w:pPr>
        <w:ind w:firstLine="640" w:firstLineChars="200"/>
        <w:rPr>
          <w:rFonts w:hint="eastAsia" w:ascii="楷体_GB2312" w:eastAsia="楷体_GB2312"/>
          <w:szCs w:val="32"/>
        </w:rPr>
      </w:pPr>
      <w:r>
        <w:rPr>
          <w:rFonts w:hint="eastAsia" w:ascii="楷体_GB2312" w:eastAsia="楷体_GB2312"/>
          <w:szCs w:val="32"/>
          <w:lang w:eastAsia="zh-CN"/>
        </w:rPr>
        <w:t>（二）</w:t>
      </w:r>
      <w:r>
        <w:rPr>
          <w:rFonts w:hint="eastAsia" w:ascii="楷体_GB2312" w:eastAsia="楷体_GB2312"/>
          <w:szCs w:val="32"/>
        </w:rPr>
        <w:t>一般公共预算财政拨款支出决算结构情况</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2018年度一般公共预算财政拨款支出 </w:t>
      </w:r>
      <w:r>
        <w:rPr>
          <w:rFonts w:hint="eastAsia" w:ascii="仿宋_GB2312" w:eastAsia="仿宋_GB2312"/>
          <w:sz w:val="32"/>
          <w:szCs w:val="32"/>
          <w:lang w:val="en-US" w:eastAsia="zh-CN"/>
        </w:rPr>
        <w:t>189.70</w:t>
      </w:r>
      <w:r>
        <w:rPr>
          <w:rFonts w:hint="eastAsia" w:ascii="仿宋_GB2312" w:eastAsia="仿宋_GB2312"/>
          <w:sz w:val="32"/>
          <w:szCs w:val="32"/>
        </w:rPr>
        <w:t>万元，主要用于以下方面：一般公共服务（类）支出</w:t>
      </w:r>
      <w:r>
        <w:rPr>
          <w:rFonts w:hint="eastAsia" w:ascii="仿宋_GB2312" w:eastAsia="仿宋_GB2312"/>
          <w:sz w:val="32"/>
          <w:szCs w:val="32"/>
          <w:lang w:val="en-US" w:eastAsia="zh-CN"/>
        </w:rPr>
        <w:t>189.70</w:t>
      </w:r>
      <w:r>
        <w:rPr>
          <w:rFonts w:hint="eastAsia" w:ascii="仿宋_GB2312" w:eastAsia="仿宋_GB2312"/>
          <w:sz w:val="32"/>
          <w:szCs w:val="32"/>
        </w:rPr>
        <w:t xml:space="preserve"> 万元，占 </w:t>
      </w:r>
      <w:r>
        <w:rPr>
          <w:rFonts w:hint="eastAsia" w:ascii="仿宋_GB2312" w:eastAsia="仿宋_GB2312"/>
          <w:sz w:val="32"/>
          <w:szCs w:val="32"/>
          <w:lang w:val="en-US" w:eastAsia="zh-CN"/>
        </w:rPr>
        <w:t>100</w:t>
      </w:r>
      <w:r>
        <w:rPr>
          <w:rFonts w:hint="eastAsia" w:ascii="仿宋_GB2312" w:eastAsia="仿宋_GB2312"/>
          <w:sz w:val="32"/>
          <w:szCs w:val="32"/>
        </w:rPr>
        <w:t xml:space="preserve"> %；国防（类）支出 </w:t>
      </w:r>
      <w:r>
        <w:rPr>
          <w:rFonts w:hint="eastAsia" w:ascii="仿宋_GB2312" w:eastAsia="仿宋_GB2312"/>
          <w:sz w:val="32"/>
          <w:szCs w:val="32"/>
          <w:lang w:val="en-US" w:eastAsia="zh-CN"/>
        </w:rPr>
        <w:t>0</w:t>
      </w:r>
      <w:r>
        <w:rPr>
          <w:rFonts w:hint="eastAsia" w:ascii="仿宋_GB2312" w:eastAsia="仿宋_GB2312"/>
          <w:sz w:val="32"/>
          <w:szCs w:val="32"/>
        </w:rPr>
        <w:t xml:space="preserve">万元，占 </w:t>
      </w:r>
      <w:r>
        <w:rPr>
          <w:rFonts w:hint="eastAsia" w:ascii="仿宋_GB2312" w:eastAsia="仿宋_GB2312"/>
          <w:sz w:val="32"/>
          <w:szCs w:val="32"/>
          <w:lang w:val="en-US" w:eastAsia="zh-CN"/>
        </w:rPr>
        <w:t>0</w:t>
      </w:r>
      <w:r>
        <w:rPr>
          <w:rFonts w:hint="eastAsia" w:ascii="仿宋_GB2312" w:eastAsia="仿宋_GB2312"/>
          <w:sz w:val="32"/>
          <w:szCs w:val="32"/>
        </w:rPr>
        <w:t xml:space="preserve"> %；公共安全（类）支出</w:t>
      </w:r>
      <w:r>
        <w:rPr>
          <w:rFonts w:hint="eastAsia" w:ascii="仿宋_GB2312" w:eastAsia="仿宋_GB2312"/>
          <w:sz w:val="32"/>
          <w:szCs w:val="32"/>
          <w:lang w:val="en-US" w:eastAsia="zh-CN"/>
        </w:rPr>
        <w:t>0</w:t>
      </w:r>
      <w:r>
        <w:rPr>
          <w:rFonts w:hint="eastAsia" w:ascii="仿宋_GB2312" w:eastAsia="仿宋_GB2312"/>
          <w:sz w:val="32"/>
          <w:szCs w:val="32"/>
        </w:rPr>
        <w:t xml:space="preserve">万元，占 </w:t>
      </w:r>
      <w:r>
        <w:rPr>
          <w:rFonts w:hint="eastAsia" w:ascii="仿宋_GB2312" w:eastAsia="仿宋_GB2312"/>
          <w:sz w:val="32"/>
          <w:szCs w:val="32"/>
          <w:lang w:val="en-US" w:eastAsia="zh-CN"/>
        </w:rPr>
        <w:t>0</w:t>
      </w:r>
      <w:r>
        <w:rPr>
          <w:rFonts w:hint="eastAsia" w:ascii="仿宋_GB2312" w:eastAsia="仿宋_GB2312"/>
          <w:sz w:val="32"/>
          <w:szCs w:val="32"/>
        </w:rPr>
        <w:t xml:space="preserve">%；教育（类）支出 </w:t>
      </w:r>
      <w:r>
        <w:rPr>
          <w:rFonts w:hint="eastAsia" w:ascii="仿宋_GB2312" w:eastAsia="仿宋_GB2312"/>
          <w:sz w:val="32"/>
          <w:szCs w:val="32"/>
          <w:lang w:val="en-US" w:eastAsia="zh-CN"/>
        </w:rPr>
        <w:t>0</w:t>
      </w:r>
      <w:r>
        <w:rPr>
          <w:rFonts w:hint="eastAsia" w:ascii="仿宋_GB2312" w:eastAsia="仿宋_GB2312"/>
          <w:sz w:val="32"/>
          <w:szCs w:val="32"/>
        </w:rPr>
        <w:t xml:space="preserve">万元，占 </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eastAsia="zh-CN"/>
        </w:rPr>
        <w:t>。</w:t>
      </w:r>
    </w:p>
    <w:p>
      <w:pPr>
        <w:spacing w:line="580" w:lineRule="exact"/>
        <w:ind w:firstLine="640" w:firstLineChars="200"/>
        <w:rPr>
          <w:rFonts w:hint="eastAsia" w:ascii="仿宋_GB2312" w:eastAsia="仿宋_GB2312"/>
          <w:sz w:val="32"/>
          <w:szCs w:val="32"/>
          <w:lang w:eastAsia="zh-CN"/>
        </w:rPr>
      </w:pPr>
      <w:r>
        <w:drawing>
          <wp:anchor distT="0" distB="0" distL="114300" distR="114300" simplePos="0" relativeHeight="251666432" behindDoc="0" locked="0" layoutInCell="1" allowOverlap="1">
            <wp:simplePos x="0" y="0"/>
            <wp:positionH relativeFrom="column">
              <wp:posOffset>572770</wp:posOffset>
            </wp:positionH>
            <wp:positionV relativeFrom="paragraph">
              <wp:posOffset>127635</wp:posOffset>
            </wp:positionV>
            <wp:extent cx="4400550" cy="2515235"/>
            <wp:effectExtent l="4445" t="4445" r="14605" b="13970"/>
            <wp:wrapNone/>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80" w:lineRule="exact"/>
        <w:ind w:firstLine="640" w:firstLineChars="200"/>
        <w:rPr>
          <w:rFonts w:hint="eastAsia" w:ascii="仿宋_GB2312" w:eastAsia="仿宋_GB2312"/>
          <w:sz w:val="32"/>
          <w:szCs w:val="32"/>
          <w:lang w:eastAsia="zh-CN"/>
        </w:rPr>
      </w:pPr>
    </w:p>
    <w:p>
      <w:pPr>
        <w:spacing w:line="580" w:lineRule="exact"/>
        <w:ind w:firstLine="640" w:firstLineChars="200"/>
        <w:rPr>
          <w:rFonts w:hint="eastAsia" w:ascii="仿宋_GB2312" w:eastAsia="仿宋_GB2312"/>
          <w:sz w:val="32"/>
          <w:szCs w:val="32"/>
          <w:lang w:eastAsia="zh-CN"/>
        </w:rPr>
      </w:pPr>
    </w:p>
    <w:p>
      <w:pPr>
        <w:spacing w:line="580" w:lineRule="exact"/>
        <w:ind w:firstLine="640" w:firstLineChars="200"/>
        <w:rPr>
          <w:rFonts w:hint="eastAsia" w:ascii="仿宋_GB2312" w:eastAsia="仿宋_GB2312"/>
          <w:sz w:val="32"/>
          <w:szCs w:val="32"/>
          <w:lang w:eastAsia="zh-CN"/>
        </w:rPr>
      </w:pPr>
    </w:p>
    <w:p>
      <w:pPr>
        <w:spacing w:line="580" w:lineRule="exact"/>
        <w:ind w:firstLine="640" w:firstLineChars="200"/>
        <w:rPr>
          <w:rFonts w:hint="eastAsia" w:ascii="仿宋_GB2312" w:eastAsia="仿宋_GB2312"/>
          <w:sz w:val="32"/>
          <w:szCs w:val="32"/>
          <w:lang w:eastAsia="zh-CN"/>
        </w:rPr>
      </w:pPr>
    </w:p>
    <w:p>
      <w:pPr>
        <w:spacing w:line="580" w:lineRule="exact"/>
        <w:rPr>
          <w:rFonts w:ascii="仿宋_GB2312" w:eastAsia="仿宋_GB2312"/>
          <w:b/>
          <w:sz w:val="32"/>
          <w:szCs w:val="32"/>
        </w:rPr>
      </w:pPr>
    </w:p>
    <w:p>
      <w:pPr>
        <w:ind w:firstLine="640" w:firstLineChars="200"/>
        <w:rPr>
          <w:rFonts w:hint="eastAsia" w:ascii="楷体_GB2312" w:eastAsia="楷体_GB2312"/>
          <w:szCs w:val="32"/>
          <w:lang w:eastAsia="zh-CN"/>
        </w:rPr>
      </w:pPr>
    </w:p>
    <w:p>
      <w:pPr>
        <w:ind w:firstLine="640" w:firstLineChars="200"/>
        <w:rPr>
          <w:rFonts w:hint="eastAsia" w:ascii="楷体_GB2312" w:eastAsia="楷体_GB2312"/>
          <w:szCs w:val="32"/>
        </w:rPr>
      </w:pPr>
      <w:r>
        <w:rPr>
          <w:rFonts w:hint="eastAsia" w:ascii="楷体_GB2312" w:eastAsia="楷体_GB2312"/>
          <w:szCs w:val="32"/>
          <w:lang w:eastAsia="zh-CN"/>
        </w:rPr>
        <w:t>（三）</w:t>
      </w:r>
      <w:r>
        <w:rPr>
          <w:rFonts w:hint="eastAsia" w:ascii="楷体_GB2312" w:eastAsia="楷体_GB2312"/>
          <w:szCs w:val="32"/>
        </w:rPr>
        <w:t>一般公共预算财政拨款支出决算具体情况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2018年度一般公共预算财政拨款支出年初预算为</w:t>
      </w:r>
      <w:r>
        <w:rPr>
          <w:rFonts w:hint="eastAsia" w:ascii="仿宋_GB2312" w:eastAsia="仿宋_GB2312"/>
          <w:sz w:val="32"/>
          <w:szCs w:val="32"/>
          <w:lang w:val="en-US" w:eastAsia="zh-CN"/>
        </w:rPr>
        <w:t>183.5</w:t>
      </w:r>
      <w:r>
        <w:rPr>
          <w:rFonts w:hint="eastAsia" w:ascii="仿宋_GB2312" w:eastAsia="仿宋_GB2312"/>
          <w:sz w:val="32"/>
          <w:szCs w:val="32"/>
        </w:rPr>
        <w:t>万元，支出决算为</w:t>
      </w:r>
      <w:r>
        <w:rPr>
          <w:rFonts w:hint="eastAsia" w:ascii="仿宋_GB2312" w:eastAsia="仿宋_GB2312"/>
          <w:sz w:val="32"/>
          <w:szCs w:val="32"/>
          <w:lang w:val="en-US" w:eastAsia="zh-CN"/>
        </w:rPr>
        <w:t>189.7</w:t>
      </w:r>
      <w:r>
        <w:rPr>
          <w:rFonts w:hint="eastAsia" w:ascii="仿宋_GB2312" w:eastAsia="仿宋_GB2312"/>
          <w:sz w:val="32"/>
          <w:szCs w:val="32"/>
        </w:rPr>
        <w:t xml:space="preserve">万元，完成年初预算的 </w:t>
      </w:r>
      <w:r>
        <w:rPr>
          <w:rFonts w:hint="eastAsia" w:ascii="仿宋_GB2312" w:eastAsia="仿宋_GB2312"/>
          <w:sz w:val="32"/>
          <w:szCs w:val="32"/>
          <w:lang w:val="en-US" w:eastAsia="zh-CN"/>
        </w:rPr>
        <w:t>103.38</w:t>
      </w:r>
      <w:r>
        <w:rPr>
          <w:rFonts w:hint="eastAsia" w:ascii="仿宋_GB2312" w:eastAsia="仿宋_GB2312"/>
          <w:sz w:val="32"/>
          <w:szCs w:val="32"/>
        </w:rPr>
        <w:t>%。决算数大于预算数的主要原因</w:t>
      </w:r>
      <w:r>
        <w:rPr>
          <w:rFonts w:hint="eastAsia" w:ascii="仿宋_GB2312" w:eastAsia="仿宋_GB2312"/>
          <w:sz w:val="32"/>
          <w:szCs w:val="32"/>
          <w:lang w:eastAsia="zh-CN"/>
        </w:rPr>
        <w:t>新人加入，人员增加</w:t>
      </w:r>
      <w:r>
        <w:rPr>
          <w:rFonts w:hint="eastAsia" w:ascii="仿宋_GB2312" w:eastAsia="仿宋_GB2312"/>
          <w:sz w:val="32"/>
          <w:szCs w:val="32"/>
        </w:rPr>
        <w:t>。其中：</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一般公共服务（类）财政事务（款）行政运行（项）。主要反映用于</w:t>
      </w:r>
      <w:r>
        <w:rPr>
          <w:rFonts w:hint="eastAsia" w:ascii="仿宋_GB2312" w:eastAsia="仿宋_GB2312"/>
          <w:sz w:val="32"/>
          <w:szCs w:val="32"/>
          <w:lang w:eastAsia="zh-CN"/>
        </w:rPr>
        <w:t>文化和体育项目</w:t>
      </w:r>
      <w:r>
        <w:rPr>
          <w:rFonts w:hint="eastAsia" w:ascii="仿宋_GB2312" w:eastAsia="仿宋_GB2312"/>
          <w:sz w:val="32"/>
          <w:szCs w:val="32"/>
        </w:rPr>
        <w:t>支出。年初预算为</w:t>
      </w:r>
      <w:r>
        <w:rPr>
          <w:rFonts w:hint="eastAsia" w:ascii="仿宋_GB2312" w:eastAsia="仿宋_GB2312"/>
          <w:sz w:val="32"/>
          <w:szCs w:val="32"/>
          <w:lang w:val="en-US" w:eastAsia="zh-CN"/>
        </w:rPr>
        <w:t>183.5</w:t>
      </w:r>
      <w:r>
        <w:rPr>
          <w:rFonts w:hint="eastAsia" w:ascii="仿宋_GB2312" w:eastAsia="仿宋_GB2312"/>
          <w:sz w:val="32"/>
          <w:szCs w:val="32"/>
        </w:rPr>
        <w:t>万元，支出决算为</w:t>
      </w:r>
      <w:r>
        <w:rPr>
          <w:rFonts w:hint="eastAsia" w:ascii="仿宋_GB2312" w:eastAsia="仿宋_GB2312"/>
          <w:sz w:val="32"/>
          <w:szCs w:val="32"/>
          <w:lang w:val="en-US" w:eastAsia="zh-CN"/>
        </w:rPr>
        <w:t>189.7</w:t>
      </w:r>
      <w:r>
        <w:rPr>
          <w:rFonts w:hint="eastAsia" w:ascii="仿宋_GB2312" w:eastAsia="仿宋_GB2312"/>
          <w:sz w:val="32"/>
          <w:szCs w:val="32"/>
        </w:rPr>
        <w:t>万元，完成年初预算的</w:t>
      </w:r>
      <w:r>
        <w:rPr>
          <w:rFonts w:hint="eastAsia" w:ascii="仿宋_GB2312" w:eastAsia="仿宋_GB2312"/>
          <w:sz w:val="32"/>
          <w:szCs w:val="32"/>
          <w:lang w:val="en-US" w:eastAsia="zh-CN"/>
        </w:rPr>
        <w:t>103.38</w:t>
      </w:r>
      <w:r>
        <w:rPr>
          <w:rFonts w:hint="eastAsia" w:ascii="仿宋_GB2312" w:eastAsia="仿宋_GB2312"/>
          <w:sz w:val="32"/>
          <w:szCs w:val="32"/>
        </w:rPr>
        <w:t xml:space="preserve"> %。决算数大于预算数主要原因是</w:t>
      </w:r>
      <w:r>
        <w:rPr>
          <w:rFonts w:hint="eastAsia" w:ascii="仿宋_GB2312" w:eastAsia="仿宋_GB2312"/>
          <w:sz w:val="32"/>
          <w:szCs w:val="32"/>
          <w:lang w:eastAsia="zh-CN"/>
        </w:rPr>
        <w:t>新人加入，人员增加</w:t>
      </w:r>
      <w:r>
        <w:rPr>
          <w:rFonts w:hint="eastAsia" w:ascii="仿宋_GB2312" w:eastAsia="仿宋_GB2312"/>
          <w:sz w:val="32"/>
          <w:szCs w:val="32"/>
        </w:rPr>
        <w:t>。</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社会保障和就业（类）行政事业单位离退休（款）归口管理的行政单位离退休（项）。年初预算为</w:t>
      </w:r>
      <w:r>
        <w:rPr>
          <w:rFonts w:hint="eastAsia" w:ascii="仿宋_GB2312" w:eastAsia="仿宋_GB2312"/>
          <w:sz w:val="32"/>
          <w:szCs w:val="32"/>
          <w:lang w:val="en-US" w:eastAsia="zh-CN"/>
        </w:rPr>
        <w:t>0</w:t>
      </w:r>
      <w:r>
        <w:rPr>
          <w:rFonts w:hint="eastAsia" w:ascii="仿宋_GB2312" w:eastAsia="仿宋_GB2312"/>
          <w:sz w:val="32"/>
          <w:szCs w:val="32"/>
          <w:lang w:eastAsia="zh-CN"/>
        </w:rPr>
        <w:t>万元，支出决算为</w:t>
      </w:r>
      <w:r>
        <w:rPr>
          <w:rFonts w:hint="eastAsia" w:ascii="仿宋_GB2312" w:eastAsia="仿宋_GB2312"/>
          <w:sz w:val="32"/>
          <w:szCs w:val="32"/>
          <w:lang w:val="en-US" w:eastAsia="zh-CN"/>
        </w:rPr>
        <w:t>0</w:t>
      </w:r>
      <w:r>
        <w:rPr>
          <w:rFonts w:hint="eastAsia" w:ascii="仿宋_GB2312" w:eastAsia="仿宋_GB2312"/>
          <w:sz w:val="32"/>
          <w:szCs w:val="32"/>
          <w:lang w:eastAsia="zh-CN"/>
        </w:rPr>
        <w:t xml:space="preserve">万元，完成年初预算的 </w:t>
      </w:r>
      <w:r>
        <w:rPr>
          <w:rFonts w:hint="eastAsia" w:ascii="仿宋_GB2312" w:eastAsia="仿宋_GB2312"/>
          <w:sz w:val="32"/>
          <w:szCs w:val="32"/>
          <w:lang w:val="en-US" w:eastAsia="zh-CN"/>
        </w:rPr>
        <w:t>0</w:t>
      </w:r>
      <w:r>
        <w:rPr>
          <w:rFonts w:hint="eastAsia" w:ascii="仿宋_GB2312" w:eastAsia="仿宋_GB2312"/>
          <w:sz w:val="32"/>
          <w:szCs w:val="32"/>
          <w:lang w:eastAsia="zh-CN"/>
        </w:rPr>
        <w:t xml:space="preserve"> %。</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一般公共预算财政拨款基本支出决算情况</w:t>
      </w:r>
    </w:p>
    <w:p>
      <w:pPr>
        <w:spacing w:line="580" w:lineRule="exact"/>
        <w:ind w:firstLine="600"/>
        <w:rPr>
          <w:rFonts w:ascii="仿宋_GB2312" w:eastAsia="仿宋_GB2312"/>
          <w:sz w:val="32"/>
          <w:szCs w:val="32"/>
        </w:rPr>
      </w:pPr>
      <w:r>
        <w:rPr>
          <w:rFonts w:hint="eastAsia" w:ascii="仿宋_GB2312" w:eastAsia="仿宋_GB2312"/>
          <w:sz w:val="32"/>
          <w:szCs w:val="32"/>
        </w:rPr>
        <w:t xml:space="preserve">2018年度一般公共预算财政拨款基本支出决算 </w:t>
      </w:r>
      <w:r>
        <w:rPr>
          <w:rFonts w:hint="eastAsia" w:ascii="仿宋_GB2312" w:eastAsia="仿宋_GB2312"/>
          <w:sz w:val="32"/>
          <w:szCs w:val="32"/>
          <w:lang w:val="en-US" w:eastAsia="zh-CN"/>
        </w:rPr>
        <w:t>189.70</w:t>
      </w:r>
      <w:r>
        <w:rPr>
          <w:rFonts w:hint="eastAsia" w:ascii="仿宋_GB2312" w:eastAsia="仿宋_GB2312"/>
          <w:sz w:val="32"/>
          <w:szCs w:val="32"/>
        </w:rPr>
        <w:t>万元，包括人员经费和公用经费，支出具体情况如下：</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人员经费 </w:t>
      </w:r>
      <w:r>
        <w:rPr>
          <w:rFonts w:hint="eastAsia" w:ascii="仿宋_GB2312" w:eastAsia="仿宋_GB2312"/>
          <w:sz w:val="32"/>
          <w:szCs w:val="32"/>
          <w:lang w:val="en-US" w:eastAsia="zh-CN"/>
        </w:rPr>
        <w:t>154.59</w:t>
      </w:r>
      <w:r>
        <w:rPr>
          <w:rFonts w:hint="eastAsia" w:ascii="仿宋_GB2312" w:eastAsia="仿宋_GB2312"/>
          <w:sz w:val="32"/>
          <w:szCs w:val="32"/>
        </w:rPr>
        <w:t>万元，主要包括：基本工资</w:t>
      </w:r>
      <w:r>
        <w:rPr>
          <w:rFonts w:hint="eastAsia" w:ascii="仿宋_GB2312" w:eastAsia="仿宋_GB2312"/>
          <w:sz w:val="32"/>
          <w:szCs w:val="32"/>
          <w:lang w:val="en-US" w:eastAsia="zh-CN"/>
        </w:rPr>
        <w:t>60.72万元</w:t>
      </w:r>
      <w:r>
        <w:rPr>
          <w:rFonts w:hint="eastAsia" w:ascii="仿宋_GB2312" w:eastAsia="仿宋_GB2312"/>
          <w:sz w:val="32"/>
          <w:szCs w:val="32"/>
        </w:rPr>
        <w:t>、津贴补贴</w:t>
      </w:r>
      <w:r>
        <w:rPr>
          <w:rFonts w:hint="eastAsia" w:ascii="仿宋_GB2312" w:eastAsia="仿宋_GB2312"/>
          <w:sz w:val="32"/>
          <w:szCs w:val="32"/>
          <w:lang w:val="en-US" w:eastAsia="zh-CN"/>
        </w:rPr>
        <w:t>43.26万元</w:t>
      </w:r>
      <w:r>
        <w:rPr>
          <w:rFonts w:hint="eastAsia" w:ascii="仿宋_GB2312" w:eastAsia="仿宋_GB2312"/>
          <w:sz w:val="32"/>
          <w:szCs w:val="32"/>
        </w:rPr>
        <w:t>、</w:t>
      </w:r>
      <w:r>
        <w:rPr>
          <w:rFonts w:hint="eastAsia" w:ascii="仿宋_GB2312" w:eastAsia="仿宋_GB2312"/>
          <w:sz w:val="32"/>
          <w:szCs w:val="32"/>
          <w:lang w:eastAsia="zh-CN"/>
        </w:rPr>
        <w:t>绩效工资</w:t>
      </w:r>
      <w:r>
        <w:rPr>
          <w:rFonts w:hint="eastAsia" w:ascii="仿宋_GB2312" w:eastAsia="仿宋_GB2312"/>
          <w:sz w:val="32"/>
          <w:szCs w:val="32"/>
          <w:lang w:val="en-US" w:eastAsia="zh-CN"/>
        </w:rPr>
        <w:t>10.16万元、养老保险19.82万元、职业年金7.93万元</w:t>
      </w:r>
      <w:r>
        <w:rPr>
          <w:rFonts w:hint="eastAsia" w:ascii="仿宋_GB2312" w:eastAsia="仿宋_GB2312"/>
          <w:sz w:val="32"/>
          <w:szCs w:val="32"/>
        </w:rPr>
        <w:t>奖金</w:t>
      </w:r>
      <w:r>
        <w:rPr>
          <w:rFonts w:hint="eastAsia" w:ascii="仿宋_GB2312" w:eastAsia="仿宋_GB2312"/>
          <w:sz w:val="32"/>
          <w:szCs w:val="32"/>
          <w:lang w:eastAsia="zh-CN"/>
        </w:rPr>
        <w:t>、职工基本医疗保险</w:t>
      </w:r>
      <w:r>
        <w:rPr>
          <w:rFonts w:hint="eastAsia" w:ascii="仿宋_GB2312" w:eastAsia="仿宋_GB2312"/>
          <w:sz w:val="32"/>
          <w:szCs w:val="32"/>
          <w:lang w:val="en-US" w:eastAsia="zh-CN"/>
        </w:rPr>
        <w:t>3.94万元、其他社会保障0.13万元、住房公积金7.89万元、对个人和家庭的生活补助0.74万元。</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 xml:space="preserve">公用经费 </w:t>
      </w:r>
      <w:r>
        <w:rPr>
          <w:rFonts w:hint="eastAsia" w:ascii="仿宋_GB2312" w:eastAsia="仿宋_GB2312"/>
          <w:sz w:val="32"/>
          <w:szCs w:val="32"/>
          <w:lang w:val="en-US" w:eastAsia="zh-CN"/>
        </w:rPr>
        <w:t>7.01</w:t>
      </w:r>
      <w:r>
        <w:rPr>
          <w:rFonts w:hint="eastAsia" w:ascii="仿宋_GB2312" w:eastAsia="仿宋_GB2312"/>
          <w:sz w:val="32"/>
          <w:szCs w:val="32"/>
        </w:rPr>
        <w:t>万元，主要包括：办公费</w:t>
      </w:r>
      <w:r>
        <w:rPr>
          <w:rFonts w:hint="eastAsia" w:ascii="仿宋_GB2312" w:eastAsia="仿宋_GB2312"/>
          <w:sz w:val="32"/>
          <w:szCs w:val="32"/>
          <w:lang w:val="en-US" w:eastAsia="zh-CN"/>
        </w:rPr>
        <w:t>0.57万元</w:t>
      </w:r>
      <w:r>
        <w:rPr>
          <w:rFonts w:hint="eastAsia" w:ascii="仿宋_GB2312" w:eastAsia="仿宋_GB2312"/>
          <w:sz w:val="32"/>
          <w:szCs w:val="32"/>
        </w:rPr>
        <w:t>、印刷费</w:t>
      </w:r>
      <w:r>
        <w:rPr>
          <w:rFonts w:hint="eastAsia" w:ascii="仿宋_GB2312" w:eastAsia="仿宋_GB2312"/>
          <w:sz w:val="32"/>
          <w:szCs w:val="32"/>
          <w:lang w:val="en-US" w:eastAsia="zh-CN"/>
        </w:rPr>
        <w:t>0.32万元</w:t>
      </w:r>
      <w:r>
        <w:rPr>
          <w:rFonts w:hint="eastAsia" w:ascii="仿宋_GB2312" w:eastAsia="仿宋_GB2312"/>
          <w:sz w:val="32"/>
          <w:szCs w:val="32"/>
        </w:rPr>
        <w:t>、</w:t>
      </w:r>
      <w:r>
        <w:rPr>
          <w:rFonts w:hint="eastAsia" w:ascii="仿宋_GB2312" w:eastAsia="仿宋_GB2312"/>
          <w:sz w:val="32"/>
          <w:szCs w:val="32"/>
          <w:lang w:eastAsia="zh-CN"/>
        </w:rPr>
        <w:t>水费</w:t>
      </w:r>
      <w:r>
        <w:rPr>
          <w:rFonts w:hint="eastAsia" w:ascii="仿宋_GB2312" w:eastAsia="仿宋_GB2312"/>
          <w:sz w:val="32"/>
          <w:szCs w:val="32"/>
          <w:lang w:val="en-US" w:eastAsia="zh-CN"/>
        </w:rPr>
        <w:t>0.45万元、电费1.33万元、邮电费0.14万元、物业管理费0.72万元、差旅费1.06万元、维修费0.83万元、会议费0.15万元、劳务费0.49万元、委托业务费0.24万元、公共用车维护0.44万元、其他支出0.27万元</w:t>
      </w:r>
      <w:r>
        <w:rPr>
          <w:rFonts w:hint="eastAsia" w:ascii="仿宋_GB2312" w:eastAsia="仿宋_GB2312"/>
          <w:sz w:val="32"/>
          <w:szCs w:val="32"/>
        </w:rPr>
        <w:t>咨询费。</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政府性基金预算财政拨款收入支出决算情况</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本部门没有政府性基金财政拨款收支。</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一般公共预算财政拨款“三公”经费支出决算情况</w:t>
      </w:r>
    </w:p>
    <w:p>
      <w:pPr>
        <w:ind w:firstLine="640" w:firstLineChars="200"/>
        <w:rPr>
          <w:rFonts w:hint="eastAsia" w:ascii="楷体_GB2312" w:eastAsia="楷体_GB2312"/>
          <w:szCs w:val="32"/>
        </w:rPr>
      </w:pPr>
      <w:r>
        <w:rPr>
          <w:rFonts w:hint="eastAsia" w:ascii="楷体_GB2312" w:eastAsia="楷体_GB2312"/>
          <w:szCs w:val="32"/>
          <w:lang w:eastAsia="zh-CN"/>
        </w:rPr>
        <w:t>（一）</w:t>
      </w:r>
      <w:r>
        <w:rPr>
          <w:rFonts w:hint="eastAsia" w:ascii="楷体_GB2312" w:eastAsia="楷体_GB2312"/>
          <w:szCs w:val="32"/>
        </w:rPr>
        <w:t>“三公”经费支出情况及增减变动原因</w:t>
      </w:r>
    </w:p>
    <w:p>
      <w:pPr>
        <w:spacing w:line="580" w:lineRule="exact"/>
        <w:ind w:firstLine="600"/>
        <w:rPr>
          <w:rFonts w:ascii="仿宋_GB2312" w:eastAsia="仿宋_GB2312"/>
          <w:sz w:val="32"/>
          <w:szCs w:val="32"/>
        </w:rPr>
      </w:pPr>
      <w:r>
        <w:rPr>
          <w:rFonts w:hint="eastAsia" w:ascii="仿宋_GB2312" w:eastAsia="仿宋_GB2312"/>
          <w:sz w:val="32"/>
          <w:szCs w:val="32"/>
          <w:lang w:eastAsia="zh-CN"/>
        </w:rPr>
        <w:t>曲阜市图书馆</w:t>
      </w:r>
      <w:r>
        <w:rPr>
          <w:rFonts w:hint="eastAsia" w:ascii="仿宋_GB2312" w:eastAsia="仿宋_GB2312"/>
          <w:sz w:val="32"/>
          <w:szCs w:val="32"/>
        </w:rPr>
        <w:t xml:space="preserve">2018年度一般公共预算财政拨款“三公”经费决算数为 </w:t>
      </w:r>
      <w:r>
        <w:rPr>
          <w:rFonts w:hint="eastAsia" w:ascii="仿宋_GB2312" w:eastAsia="仿宋_GB2312"/>
          <w:sz w:val="32"/>
          <w:szCs w:val="32"/>
          <w:lang w:val="en-US" w:eastAsia="zh-CN"/>
        </w:rPr>
        <w:t>0.44</w:t>
      </w:r>
      <w:r>
        <w:rPr>
          <w:rFonts w:hint="eastAsia" w:ascii="仿宋_GB2312" w:eastAsia="仿宋_GB2312"/>
          <w:sz w:val="32"/>
          <w:szCs w:val="32"/>
        </w:rPr>
        <w:t xml:space="preserve">万元（含局机关及 </w:t>
      </w:r>
      <w:r>
        <w:rPr>
          <w:rFonts w:hint="eastAsia" w:ascii="仿宋_GB2312" w:eastAsia="仿宋_GB2312"/>
          <w:sz w:val="32"/>
          <w:szCs w:val="32"/>
          <w:lang w:val="en-US" w:eastAsia="zh-CN"/>
        </w:rPr>
        <w:t>0</w:t>
      </w:r>
      <w:r>
        <w:rPr>
          <w:rFonts w:hint="eastAsia" w:ascii="仿宋_GB2312" w:eastAsia="仿宋_GB2312"/>
          <w:sz w:val="32"/>
          <w:szCs w:val="32"/>
        </w:rPr>
        <w:t xml:space="preserve">个所属预算单位），其中：因公出国（境）费 </w:t>
      </w:r>
      <w:r>
        <w:rPr>
          <w:rFonts w:hint="eastAsia" w:ascii="仿宋_GB2312" w:eastAsia="仿宋_GB2312"/>
          <w:sz w:val="32"/>
          <w:szCs w:val="32"/>
          <w:lang w:val="en-US" w:eastAsia="zh-CN"/>
        </w:rPr>
        <w:t>0</w:t>
      </w:r>
      <w:r>
        <w:rPr>
          <w:rFonts w:hint="eastAsia" w:ascii="仿宋_GB2312" w:eastAsia="仿宋_GB2312"/>
          <w:sz w:val="32"/>
          <w:szCs w:val="32"/>
        </w:rPr>
        <w:t xml:space="preserve">万元，公务用车购置及运行维护费 </w:t>
      </w:r>
      <w:r>
        <w:rPr>
          <w:rFonts w:hint="eastAsia" w:ascii="仿宋_GB2312" w:eastAsia="仿宋_GB2312"/>
          <w:sz w:val="32"/>
          <w:szCs w:val="32"/>
          <w:lang w:val="en-US" w:eastAsia="zh-CN"/>
        </w:rPr>
        <w:t>0.44</w:t>
      </w:r>
      <w:r>
        <w:rPr>
          <w:rFonts w:hint="eastAsia" w:ascii="仿宋_GB2312" w:eastAsia="仿宋_GB2312"/>
          <w:sz w:val="32"/>
          <w:szCs w:val="32"/>
        </w:rPr>
        <w:t xml:space="preserve">万元，公务接待费 </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ind w:firstLine="592" w:firstLineChars="185"/>
        <w:rPr>
          <w:rFonts w:hint="eastAsia" w:ascii="仿宋_GB2312" w:eastAsia="仿宋_GB2312"/>
          <w:b/>
          <w:sz w:val="32"/>
          <w:szCs w:val="32"/>
          <w:lang w:eastAsia="zh-CN"/>
        </w:rPr>
      </w:pPr>
      <w:r>
        <w:rPr>
          <w:rFonts w:hint="eastAsia" w:ascii="仿宋_GB2312" w:eastAsia="仿宋_GB2312"/>
          <w:sz w:val="32"/>
          <w:szCs w:val="32"/>
        </w:rPr>
        <w:t>2018年“三公”经费决算比年初预算数减少</w:t>
      </w:r>
      <w:r>
        <w:rPr>
          <w:rFonts w:hint="eastAsia" w:ascii="仿宋_GB2312" w:eastAsia="仿宋_GB2312"/>
          <w:sz w:val="32"/>
          <w:szCs w:val="32"/>
          <w:lang w:val="en-US" w:eastAsia="zh-CN"/>
        </w:rPr>
        <w:t>3.46</w:t>
      </w:r>
      <w:r>
        <w:rPr>
          <w:rFonts w:hint="eastAsia" w:ascii="仿宋_GB2312" w:eastAsia="仿宋_GB2312"/>
          <w:sz w:val="32"/>
          <w:szCs w:val="32"/>
        </w:rPr>
        <w:t>万元，主要原因是</w:t>
      </w:r>
      <w:r>
        <w:rPr>
          <w:rFonts w:hint="eastAsia" w:ascii="仿宋_GB2312" w:eastAsia="仿宋_GB2312"/>
          <w:sz w:val="32"/>
          <w:szCs w:val="32"/>
          <w:lang w:eastAsia="zh-CN"/>
        </w:rPr>
        <w:t>公车收回</w:t>
      </w:r>
      <w:r>
        <w:rPr>
          <w:rFonts w:hint="eastAsia" w:ascii="仿宋_GB2312" w:eastAsia="仿宋_GB2312"/>
          <w:sz w:val="32"/>
          <w:szCs w:val="32"/>
        </w:rPr>
        <w:t>。其中：因公出国（境）费增加（减少/与2018年预算基本持平）</w:t>
      </w:r>
      <w:r>
        <w:rPr>
          <w:rFonts w:hint="eastAsia" w:ascii="仿宋_GB2312" w:eastAsia="仿宋_GB2312"/>
          <w:sz w:val="32"/>
          <w:szCs w:val="32"/>
          <w:lang w:val="en-US" w:eastAsia="zh-CN"/>
        </w:rPr>
        <w:t>0</w:t>
      </w:r>
      <w:r>
        <w:rPr>
          <w:rFonts w:hint="eastAsia" w:ascii="仿宋_GB2312" w:eastAsia="仿宋_GB2312"/>
          <w:sz w:val="32"/>
          <w:szCs w:val="32"/>
        </w:rPr>
        <w:t>万元、公务用车购置及运行费减少</w:t>
      </w:r>
      <w:r>
        <w:rPr>
          <w:rFonts w:hint="eastAsia" w:ascii="仿宋_GB2312" w:eastAsia="仿宋_GB2312"/>
          <w:sz w:val="32"/>
          <w:szCs w:val="32"/>
          <w:lang w:val="en-US" w:eastAsia="zh-CN"/>
        </w:rPr>
        <w:t>1.96</w:t>
      </w:r>
      <w:r>
        <w:rPr>
          <w:rFonts w:hint="eastAsia" w:ascii="仿宋_GB2312" w:eastAsia="仿宋_GB2312"/>
          <w:sz w:val="32"/>
          <w:szCs w:val="32"/>
        </w:rPr>
        <w:t xml:space="preserve">万元、公务接待费减少 </w:t>
      </w:r>
      <w:r>
        <w:rPr>
          <w:rFonts w:hint="eastAsia" w:ascii="仿宋_GB2312" w:eastAsia="仿宋_GB2312"/>
          <w:sz w:val="32"/>
          <w:szCs w:val="32"/>
          <w:lang w:val="en-US" w:eastAsia="zh-CN"/>
        </w:rPr>
        <w:t>1.5</w:t>
      </w:r>
      <w:r>
        <w:rPr>
          <w:rFonts w:hint="eastAsia" w:ascii="仿宋_GB2312" w:eastAsia="仿宋_GB2312"/>
          <w:sz w:val="32"/>
          <w:szCs w:val="32"/>
        </w:rPr>
        <w:t>万元。因公出国（境）费减少的主要原因是</w:t>
      </w:r>
      <w:r>
        <w:rPr>
          <w:rFonts w:hint="eastAsia" w:ascii="仿宋_GB2312" w:eastAsia="仿宋_GB2312"/>
          <w:sz w:val="32"/>
          <w:szCs w:val="32"/>
          <w:lang w:eastAsia="zh-CN"/>
        </w:rPr>
        <w:t>无</w:t>
      </w:r>
      <w:r>
        <w:rPr>
          <w:rFonts w:hint="eastAsia" w:ascii="仿宋_GB2312" w:eastAsia="仿宋_GB2312"/>
          <w:sz w:val="32"/>
          <w:szCs w:val="32"/>
        </w:rPr>
        <w:t>因公出国。公务用车购置及运行费减少的主要原因是</w:t>
      </w:r>
      <w:r>
        <w:rPr>
          <w:rFonts w:hint="eastAsia" w:ascii="仿宋_GB2312" w:eastAsia="仿宋_GB2312"/>
          <w:sz w:val="32"/>
          <w:szCs w:val="32"/>
          <w:lang w:eastAsia="zh-CN"/>
        </w:rPr>
        <w:t>公车收回</w:t>
      </w:r>
      <w:r>
        <w:rPr>
          <w:rFonts w:hint="eastAsia" w:ascii="仿宋_GB2312" w:eastAsia="仿宋_GB2312"/>
          <w:sz w:val="32"/>
          <w:szCs w:val="32"/>
        </w:rPr>
        <w:t>。公务接待费减少的主要原因是</w:t>
      </w:r>
      <w:r>
        <w:rPr>
          <w:rFonts w:hint="eastAsia" w:ascii="仿宋_GB2312" w:eastAsia="仿宋_GB2312"/>
          <w:sz w:val="32"/>
          <w:szCs w:val="32"/>
          <w:lang w:eastAsia="zh-CN"/>
        </w:rPr>
        <w:t>无公务接待。</w:t>
      </w:r>
    </w:p>
    <w:p>
      <w:pPr>
        <w:ind w:firstLine="640" w:firstLineChars="200"/>
        <w:rPr>
          <w:rFonts w:hint="eastAsia" w:ascii="楷体_GB2312" w:eastAsia="楷体_GB2312"/>
          <w:szCs w:val="32"/>
        </w:rPr>
      </w:pPr>
      <w:r>
        <w:rPr>
          <w:rFonts w:hint="eastAsia" w:ascii="楷体_GB2312" w:eastAsia="楷体_GB2312"/>
          <w:szCs w:val="32"/>
          <w:lang w:eastAsia="zh-CN"/>
        </w:rPr>
        <w:t>（二）</w:t>
      </w:r>
      <w:r>
        <w:rPr>
          <w:rFonts w:hint="eastAsia" w:ascii="楷体_GB2312" w:eastAsia="楷体_GB2312"/>
          <w:szCs w:val="32"/>
        </w:rPr>
        <w:t>“三公”经费支出相关情况说明</w:t>
      </w:r>
    </w:p>
    <w:p>
      <w:pPr>
        <w:spacing w:line="580" w:lineRule="exact"/>
        <w:ind w:firstLine="600"/>
        <w:rPr>
          <w:rFonts w:ascii="仿宋_GB2312" w:eastAsia="仿宋_GB2312"/>
          <w:b/>
          <w:sz w:val="32"/>
          <w:szCs w:val="32"/>
        </w:rPr>
      </w:pPr>
      <w:r>
        <w:rPr>
          <w:rFonts w:hint="eastAsia" w:ascii="仿宋_GB2312" w:eastAsia="仿宋_GB2312"/>
          <w:sz w:val="32"/>
          <w:szCs w:val="32"/>
          <w:lang w:val="en-US" w:eastAsia="zh-CN"/>
        </w:rPr>
        <w:t>1、</w:t>
      </w:r>
      <w:r>
        <w:rPr>
          <w:rFonts w:hint="eastAsia" w:ascii="仿宋_GB2312" w:eastAsia="仿宋_GB2312"/>
          <w:sz w:val="32"/>
          <w:szCs w:val="32"/>
        </w:rPr>
        <w:t xml:space="preserve">因公出国（境）费指单位工作人员公务出国（境）的国际旅费、国外城市间交通费、住宿费、伙食费、培训费、公杂费等支出。2018年使用财政拨款安排 </w:t>
      </w:r>
      <w:r>
        <w:rPr>
          <w:rFonts w:hint="eastAsia" w:ascii="仿宋_GB2312" w:eastAsia="仿宋_GB2312"/>
          <w:sz w:val="32"/>
          <w:szCs w:val="32"/>
          <w:lang w:val="en-US" w:eastAsia="zh-CN"/>
        </w:rPr>
        <w:t>0</w:t>
      </w:r>
      <w:r>
        <w:rPr>
          <w:rFonts w:hint="eastAsia" w:ascii="仿宋_GB2312" w:eastAsia="仿宋_GB2312"/>
          <w:sz w:val="32"/>
          <w:szCs w:val="32"/>
        </w:rPr>
        <w:t xml:space="preserve"> 等单位，因公出国(境)团组</w:t>
      </w:r>
      <w:r>
        <w:rPr>
          <w:rFonts w:hint="eastAsia" w:ascii="仿宋_GB2312" w:eastAsia="仿宋_GB2312"/>
          <w:sz w:val="32"/>
          <w:szCs w:val="32"/>
          <w:lang w:val="en-US" w:eastAsia="zh-CN"/>
        </w:rPr>
        <w:t>0</w:t>
      </w:r>
      <w:r>
        <w:rPr>
          <w:rFonts w:hint="eastAsia" w:ascii="仿宋_GB2312" w:eastAsia="仿宋_GB2312"/>
          <w:sz w:val="32"/>
          <w:szCs w:val="32"/>
        </w:rPr>
        <w:t>个，累计</w:t>
      </w:r>
      <w:r>
        <w:rPr>
          <w:rFonts w:hint="eastAsia" w:ascii="仿宋_GB2312" w:eastAsia="仿宋_GB2312"/>
          <w:sz w:val="32"/>
          <w:szCs w:val="32"/>
          <w:lang w:val="en-US" w:eastAsia="zh-CN"/>
        </w:rPr>
        <w:t>0</w:t>
      </w:r>
      <w:r>
        <w:rPr>
          <w:rFonts w:hint="eastAsia" w:ascii="仿宋_GB2312" w:eastAsia="仿宋_GB2312"/>
          <w:sz w:val="32"/>
          <w:szCs w:val="32"/>
        </w:rPr>
        <w:t>人次。</w:t>
      </w:r>
    </w:p>
    <w:p>
      <w:pPr>
        <w:spacing w:line="580" w:lineRule="exact"/>
        <w:ind w:firstLine="588" w:firstLineChars="184"/>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 xml:space="preserve">公务用车购置及运行维护费指单位公务用车购置费（含车辆购置税）及按规定保留的公务用车燃料费、维修费、过路过桥费、保险费等支出。其中：公务用车购置费 </w:t>
      </w:r>
      <w:r>
        <w:rPr>
          <w:rFonts w:hint="eastAsia" w:ascii="仿宋_GB2312" w:eastAsia="仿宋_GB2312"/>
          <w:sz w:val="32"/>
          <w:szCs w:val="32"/>
          <w:lang w:val="en-US" w:eastAsia="zh-CN"/>
        </w:rPr>
        <w:t>0</w:t>
      </w:r>
      <w:r>
        <w:rPr>
          <w:rFonts w:hint="eastAsia" w:ascii="仿宋_GB2312" w:eastAsia="仿宋_GB2312"/>
          <w:sz w:val="32"/>
          <w:szCs w:val="32"/>
        </w:rPr>
        <w:t>万元。2018年 单位使用财政拨款购置公务用车</w:t>
      </w:r>
      <w:r>
        <w:rPr>
          <w:rFonts w:hint="eastAsia" w:ascii="仿宋_GB2312" w:eastAsia="仿宋_GB2312"/>
          <w:sz w:val="32"/>
          <w:szCs w:val="32"/>
          <w:lang w:val="en-US" w:eastAsia="zh-CN"/>
        </w:rPr>
        <w:t>0</w:t>
      </w:r>
      <w:r>
        <w:rPr>
          <w:rFonts w:hint="eastAsia" w:ascii="仿宋_GB2312" w:eastAsia="仿宋_GB2312"/>
          <w:sz w:val="32"/>
          <w:szCs w:val="32"/>
        </w:rPr>
        <w:t>辆，主要是</w:t>
      </w:r>
      <w:r>
        <w:rPr>
          <w:rFonts w:hint="eastAsia" w:ascii="仿宋_GB2312" w:eastAsia="仿宋_GB2312"/>
          <w:sz w:val="32"/>
          <w:szCs w:val="32"/>
          <w:lang w:eastAsia="zh-CN"/>
        </w:rPr>
        <w:t>无购置公车。</w:t>
      </w:r>
      <w:r>
        <w:rPr>
          <w:rFonts w:hint="eastAsia" w:ascii="仿宋_GB2312" w:eastAsia="仿宋_GB2312"/>
          <w:sz w:val="32"/>
          <w:szCs w:val="32"/>
        </w:rPr>
        <w:t xml:space="preserve">公务用车运行维护费 </w:t>
      </w:r>
      <w:r>
        <w:rPr>
          <w:rFonts w:hint="eastAsia" w:ascii="仿宋_GB2312" w:eastAsia="仿宋_GB2312"/>
          <w:sz w:val="32"/>
          <w:szCs w:val="32"/>
          <w:lang w:val="en-US" w:eastAsia="zh-CN"/>
        </w:rPr>
        <w:t>0.44</w:t>
      </w:r>
      <w:r>
        <w:rPr>
          <w:rFonts w:hint="eastAsia" w:ascii="仿宋_GB2312" w:eastAsia="仿宋_GB2312"/>
          <w:sz w:val="32"/>
          <w:szCs w:val="32"/>
        </w:rPr>
        <w:t>万元。主要用于</w:t>
      </w:r>
      <w:r>
        <w:rPr>
          <w:rFonts w:hint="eastAsia" w:ascii="仿宋_GB2312" w:eastAsia="仿宋_GB2312"/>
          <w:sz w:val="32"/>
          <w:szCs w:val="32"/>
          <w:lang w:eastAsia="zh-CN"/>
        </w:rPr>
        <w:t>车辆保险及燃油费</w:t>
      </w:r>
      <w:r>
        <w:rPr>
          <w:rFonts w:hint="eastAsia" w:ascii="仿宋_GB2312" w:eastAsia="仿宋_GB2312"/>
          <w:sz w:val="32"/>
          <w:szCs w:val="32"/>
        </w:rPr>
        <w:t>。2018年单位财政拨款开支运行维护费的公务用车保有量为</w:t>
      </w:r>
      <w:r>
        <w:rPr>
          <w:rFonts w:hint="eastAsia" w:ascii="仿宋_GB2312" w:eastAsia="仿宋_GB2312"/>
          <w:sz w:val="32"/>
          <w:szCs w:val="32"/>
          <w:lang w:val="en-US" w:eastAsia="zh-CN"/>
        </w:rPr>
        <w:t>0</w:t>
      </w:r>
      <w:r>
        <w:rPr>
          <w:rFonts w:hint="eastAsia" w:ascii="仿宋_GB2312" w:eastAsia="仿宋_GB2312"/>
          <w:sz w:val="32"/>
          <w:szCs w:val="32"/>
        </w:rPr>
        <w:t xml:space="preserve"> 辆。</w:t>
      </w:r>
    </w:p>
    <w:p>
      <w:pPr>
        <w:spacing w:line="580" w:lineRule="exact"/>
        <w:ind w:firstLine="601"/>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 xml:space="preserve">公务接待费指单位按规定开支的各类公务接待（含外宾接待）支出。其中：国内接待费 </w:t>
      </w:r>
      <w:r>
        <w:rPr>
          <w:rFonts w:hint="eastAsia" w:ascii="仿宋_GB2312" w:eastAsia="仿宋_GB2312"/>
          <w:sz w:val="32"/>
          <w:szCs w:val="32"/>
          <w:lang w:val="en-US" w:eastAsia="zh-CN"/>
        </w:rPr>
        <w:t>0</w:t>
      </w:r>
      <w:r>
        <w:rPr>
          <w:rFonts w:hint="eastAsia" w:ascii="仿宋_GB2312" w:eastAsia="仿宋_GB2312"/>
          <w:sz w:val="32"/>
          <w:szCs w:val="32"/>
        </w:rPr>
        <w:t>万元。主要</w:t>
      </w:r>
      <w:r>
        <w:rPr>
          <w:rFonts w:hint="eastAsia" w:ascii="仿宋_GB2312" w:eastAsia="仿宋_GB2312"/>
          <w:sz w:val="32"/>
          <w:szCs w:val="32"/>
          <w:lang w:eastAsia="zh-CN"/>
        </w:rPr>
        <w:t>无接待</w:t>
      </w:r>
      <w:r>
        <w:rPr>
          <w:rFonts w:hint="eastAsia" w:ascii="仿宋_GB2312" w:eastAsia="仿宋_GB2312"/>
          <w:sz w:val="32"/>
          <w:szCs w:val="32"/>
        </w:rPr>
        <w:t xml:space="preserve">，共计接待 </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 xml:space="preserve">人次，其中外事接待 </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 xml:space="preserve">人次。国（境）外接待费 </w:t>
      </w:r>
      <w:r>
        <w:rPr>
          <w:rFonts w:hint="eastAsia" w:ascii="仿宋_GB2312" w:eastAsia="仿宋_GB2312"/>
          <w:sz w:val="32"/>
          <w:szCs w:val="32"/>
          <w:lang w:val="en-US" w:eastAsia="zh-CN"/>
        </w:rPr>
        <w:t>0</w:t>
      </w:r>
      <w:r>
        <w:rPr>
          <w:rFonts w:hint="eastAsia" w:ascii="仿宋_GB2312" w:eastAsia="仿宋_GB2312"/>
          <w:sz w:val="32"/>
          <w:szCs w:val="32"/>
        </w:rPr>
        <w:t xml:space="preserve"> 万元。主要</w:t>
      </w:r>
      <w:r>
        <w:rPr>
          <w:rFonts w:hint="eastAsia" w:ascii="仿宋_GB2312" w:eastAsia="仿宋_GB2312"/>
          <w:sz w:val="32"/>
          <w:szCs w:val="32"/>
          <w:lang w:eastAsia="zh-CN"/>
        </w:rPr>
        <w:t>无接待</w:t>
      </w:r>
      <w:r>
        <w:rPr>
          <w:rFonts w:hint="eastAsia" w:ascii="仿宋_GB2312" w:eastAsia="仿宋_GB2312"/>
          <w:sz w:val="32"/>
          <w:szCs w:val="32"/>
        </w:rPr>
        <w:t xml:space="preserve">，共计接待 </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重要事项说明</w:t>
      </w:r>
    </w:p>
    <w:p>
      <w:pPr>
        <w:ind w:firstLine="640" w:firstLineChars="200"/>
        <w:rPr>
          <w:rFonts w:hint="eastAsia" w:ascii="楷体_GB2312" w:eastAsia="楷体_GB2312"/>
          <w:szCs w:val="32"/>
        </w:rPr>
      </w:pPr>
      <w:r>
        <w:rPr>
          <w:rFonts w:hint="eastAsia" w:ascii="楷体_GB2312" w:eastAsia="楷体_GB2312"/>
          <w:szCs w:val="32"/>
        </w:rPr>
        <w:t>（一）机关运行经费支出情况说明</w:t>
      </w:r>
    </w:p>
    <w:p>
      <w:pPr>
        <w:spacing w:line="580" w:lineRule="exact"/>
        <w:ind w:firstLine="600"/>
        <w:rPr>
          <w:rFonts w:hint="eastAsia" w:ascii="仿宋_GB2312" w:hAnsi="宋体" w:eastAsia="仿宋_GB2312" w:cs="Courier New"/>
          <w:sz w:val="32"/>
          <w:szCs w:val="32"/>
        </w:rPr>
      </w:pPr>
      <w:r>
        <w:rPr>
          <w:rFonts w:hint="eastAsia" w:ascii="仿宋_GB2312" w:hAnsi="宋体" w:eastAsia="仿宋_GB2312" w:cs="Courier New"/>
          <w:sz w:val="32"/>
          <w:szCs w:val="32"/>
        </w:rPr>
        <w:t>本部门所属预算单位全部为事业单位，无机关运行经费支出。</w:t>
      </w:r>
    </w:p>
    <w:p>
      <w:pPr>
        <w:ind w:firstLine="640" w:firstLineChars="200"/>
        <w:rPr>
          <w:rFonts w:hint="eastAsia" w:ascii="楷体_GB2312" w:eastAsia="楷体_GB2312"/>
          <w:szCs w:val="32"/>
        </w:rPr>
      </w:pPr>
      <w:r>
        <w:rPr>
          <w:rFonts w:hint="eastAsia" w:ascii="楷体_GB2312" w:eastAsia="楷体_GB2312"/>
          <w:szCs w:val="32"/>
        </w:rPr>
        <w:t>（二）政府采购支出情况说明</w:t>
      </w:r>
    </w:p>
    <w:p>
      <w:pPr>
        <w:spacing w:line="580" w:lineRule="exact"/>
        <w:ind w:firstLine="600"/>
        <w:rPr>
          <w:rFonts w:ascii="仿宋_GB2312" w:hAnsi="宋体" w:eastAsia="仿宋_GB2312" w:cs="Courier New"/>
          <w:sz w:val="32"/>
          <w:szCs w:val="32"/>
        </w:rPr>
      </w:pPr>
      <w:r>
        <w:rPr>
          <w:rFonts w:hint="eastAsia" w:ascii="仿宋_GB2312" w:hAnsi="宋体" w:eastAsia="仿宋_GB2312" w:cs="Courier New"/>
          <w:sz w:val="32"/>
          <w:szCs w:val="32"/>
        </w:rPr>
        <w:t xml:space="preserve">2018年度，政府采购金额 </w:t>
      </w:r>
      <w:r>
        <w:rPr>
          <w:rFonts w:hint="eastAsia" w:ascii="仿宋_GB2312" w:hAnsi="宋体" w:eastAsia="仿宋_GB2312" w:cs="Courier New"/>
          <w:sz w:val="32"/>
          <w:szCs w:val="32"/>
          <w:lang w:val="en-US" w:eastAsia="zh-CN"/>
        </w:rPr>
        <w:t>16.1</w:t>
      </w:r>
      <w:r>
        <w:rPr>
          <w:rFonts w:hint="eastAsia" w:ascii="仿宋_GB2312" w:hAnsi="宋体" w:eastAsia="仿宋_GB2312" w:cs="Courier New"/>
          <w:sz w:val="32"/>
          <w:szCs w:val="32"/>
        </w:rPr>
        <w:t xml:space="preserve">万元，其中：政府采购货物金额 </w:t>
      </w:r>
      <w:r>
        <w:rPr>
          <w:rFonts w:hint="eastAsia" w:ascii="仿宋_GB2312" w:hAnsi="宋体" w:eastAsia="仿宋_GB2312" w:cs="Courier New"/>
          <w:sz w:val="32"/>
          <w:szCs w:val="32"/>
          <w:lang w:val="en-US" w:eastAsia="zh-CN"/>
        </w:rPr>
        <w:t>16.1</w:t>
      </w:r>
      <w:r>
        <w:rPr>
          <w:rFonts w:hint="eastAsia" w:ascii="仿宋_GB2312" w:hAnsi="宋体" w:eastAsia="仿宋_GB2312" w:cs="Courier New"/>
          <w:sz w:val="32"/>
          <w:szCs w:val="32"/>
        </w:rPr>
        <w:t xml:space="preserve">万元、政府采购工程金额 </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 xml:space="preserve">万元、政府采购服务金额 </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 xml:space="preserve"> 万元。授予中小企业合同金额 </w:t>
      </w:r>
      <w:r>
        <w:rPr>
          <w:rFonts w:hint="eastAsia" w:ascii="仿宋_GB2312" w:hAnsi="宋体" w:eastAsia="仿宋_GB2312" w:cs="Courier New"/>
          <w:sz w:val="32"/>
          <w:szCs w:val="32"/>
          <w:lang w:val="en-US" w:eastAsia="zh-CN"/>
        </w:rPr>
        <w:t>16.1</w:t>
      </w:r>
      <w:r>
        <w:rPr>
          <w:rFonts w:hint="eastAsia" w:ascii="仿宋_GB2312" w:hAnsi="宋体" w:eastAsia="仿宋_GB2312" w:cs="Courier New"/>
          <w:sz w:val="32"/>
          <w:szCs w:val="32"/>
        </w:rPr>
        <w:t xml:space="preserve">万元，占政府采购总额的 </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 xml:space="preserve"> %，其中：授予小微企业合同金额</w:t>
      </w:r>
      <w:r>
        <w:rPr>
          <w:rFonts w:hint="eastAsia" w:ascii="仿宋_GB2312" w:hAnsi="宋体" w:eastAsia="仿宋_GB2312" w:cs="Courier New"/>
          <w:sz w:val="32"/>
          <w:szCs w:val="32"/>
          <w:lang w:val="en-US" w:eastAsia="zh-CN"/>
        </w:rPr>
        <w:t>16.1</w:t>
      </w:r>
      <w:r>
        <w:rPr>
          <w:rFonts w:hint="eastAsia" w:ascii="仿宋_GB2312" w:hAnsi="宋体" w:eastAsia="仿宋_GB2312" w:cs="Courier New"/>
          <w:sz w:val="32"/>
          <w:szCs w:val="32"/>
        </w:rPr>
        <w:t xml:space="preserve"> 万元，占政府采购总额的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ind w:firstLine="640" w:firstLineChars="200"/>
        <w:rPr>
          <w:rFonts w:hint="eastAsia" w:ascii="楷体_GB2312" w:eastAsia="楷体_GB2312"/>
          <w:szCs w:val="32"/>
        </w:rPr>
      </w:pPr>
      <w:r>
        <w:rPr>
          <w:rFonts w:hint="eastAsia" w:ascii="楷体_GB2312" w:eastAsia="楷体_GB2312"/>
          <w:szCs w:val="32"/>
        </w:rPr>
        <w:t>（三）国有资产占用情况说明</w:t>
      </w:r>
    </w:p>
    <w:p>
      <w:pPr>
        <w:spacing w:line="580" w:lineRule="exact"/>
        <w:ind w:firstLine="600"/>
        <w:rPr>
          <w:rFonts w:ascii="仿宋_GB2312" w:hAnsi="宋体" w:eastAsia="仿宋_GB2312" w:cs="Courier New"/>
          <w:sz w:val="32"/>
          <w:szCs w:val="32"/>
        </w:rPr>
      </w:pPr>
      <w:r>
        <w:rPr>
          <w:rFonts w:hint="eastAsia" w:ascii="仿宋_GB2312" w:hAnsi="宋体" w:eastAsia="仿宋_GB2312" w:cs="Courier New"/>
          <w:sz w:val="32"/>
          <w:szCs w:val="32"/>
        </w:rPr>
        <w:t xml:space="preserve">截至2018年底，本部门共有车辆 </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 xml:space="preserve">辆，其中，公务用车 </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 xml:space="preserve"> 辆、一般执法执勤用车 </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 xml:space="preserve">辆、特种专业技术用车 </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 xml:space="preserve">辆、其他用车 </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 xml:space="preserve">辆；单位价值50万元以上通用设备 </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 xml:space="preserve">台（套），单位价值100万元以上专用设备 </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spacing w:line="58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Cs w:val="32"/>
        </w:rPr>
        <w:t>（四）预算绩效管理工作开展情况说明</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预算绩效管理工作开展情况。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根据预算绩效管理要求，我局组织对2018年度</w:t>
      </w:r>
      <w:r>
        <w:rPr>
          <w:rFonts w:hint="eastAsia" w:ascii="仿宋_GB2312" w:eastAsia="仿宋_GB2312"/>
          <w:sz w:val="32"/>
          <w:szCs w:val="32"/>
          <w:lang w:val="en-US" w:eastAsia="zh-CN"/>
        </w:rPr>
        <w:t>0</w:t>
      </w:r>
      <w:r>
        <w:rPr>
          <w:rFonts w:hint="eastAsia" w:ascii="仿宋_GB2312" w:eastAsia="仿宋_GB2312"/>
          <w:sz w:val="32"/>
          <w:szCs w:val="32"/>
        </w:rPr>
        <w:t>个项目开展绩效自评，共涉及资金</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spacing w:line="580" w:lineRule="exact"/>
        <w:ind w:firstLine="643" w:firstLineChars="200"/>
        <w:rPr>
          <w:rFonts w:hint="eastAsia" w:ascii="仿宋_GB2312" w:eastAsia="仿宋_GB2312"/>
          <w:b/>
          <w:bCs/>
          <w:kern w:val="0"/>
          <w:szCs w:val="32"/>
        </w:rPr>
      </w:pPr>
      <w:r>
        <w:rPr>
          <w:rFonts w:hint="eastAsia" w:ascii="仿宋_GB2312" w:eastAsia="仿宋_GB2312"/>
          <w:b/>
          <w:bCs/>
          <w:kern w:val="0"/>
          <w:szCs w:val="32"/>
        </w:rPr>
        <w:t>2、随2018年决算向省人大常委会报告的重点项目绩效评价结果。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本部门没有向省人大常委会报告的重点绩效评价项目。</w:t>
      </w:r>
    </w:p>
    <w:p>
      <w:pPr>
        <w:widowControl/>
        <w:numPr>
          <w:numId w:val="0"/>
        </w:numPr>
        <w:snapToGrid w:val="0"/>
        <w:spacing w:line="580" w:lineRule="exact"/>
        <w:ind w:firstLine="643" w:firstLineChars="200"/>
        <w:jc w:val="left"/>
        <w:rPr>
          <w:rFonts w:hint="eastAsia" w:ascii="仿宋_GB2312" w:eastAsia="仿宋_GB2312"/>
          <w:b/>
          <w:bCs/>
          <w:kern w:val="0"/>
          <w:szCs w:val="32"/>
        </w:rPr>
      </w:pPr>
      <w:r>
        <w:rPr>
          <w:rFonts w:hint="eastAsia" w:ascii="仿宋_GB2312" w:eastAsia="仿宋_GB2312"/>
          <w:b/>
          <w:bCs/>
          <w:kern w:val="0"/>
          <w:szCs w:val="32"/>
          <w:lang w:val="en-US" w:eastAsia="zh-CN"/>
        </w:rPr>
        <w:t>3.</w:t>
      </w:r>
      <w:r>
        <w:rPr>
          <w:rFonts w:hint="eastAsia" w:ascii="仿宋_GB2312" w:eastAsia="仿宋_GB2312"/>
          <w:b/>
          <w:bCs/>
          <w:kern w:val="0"/>
          <w:szCs w:val="32"/>
        </w:rPr>
        <w:t>以省直部门为主体开展的重点绩效评价结果。</w:t>
      </w:r>
    </w:p>
    <w:p>
      <w:pPr>
        <w:widowControl/>
        <w:numPr>
          <w:ilvl w:val="0"/>
          <w:numId w:val="0"/>
        </w:numPr>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本部门无重点绩</w:t>
      </w:r>
      <w:r>
        <w:rPr>
          <w:rFonts w:hint="eastAsia" w:ascii="仿宋_GB2312" w:eastAsia="仿宋_GB2312"/>
          <w:sz w:val="32"/>
          <w:szCs w:val="32"/>
        </w:rPr>
        <w:t>效评价项目。</w:t>
      </w:r>
    </w:p>
    <w:p>
      <w:pPr>
        <w:spacing w:line="580" w:lineRule="exact"/>
        <w:ind w:firstLine="640" w:firstLineChars="200"/>
        <w:rPr>
          <w:rFonts w:hint="eastAsia" w:ascii="仿宋_GB2312" w:eastAsia="仿宋_GB2312"/>
          <w:sz w:val="32"/>
          <w:szCs w:val="32"/>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ascii="黑体" w:eastAsia="黑体"/>
          <w:sz w:val="52"/>
          <w:szCs w:val="52"/>
        </w:rPr>
      </w:pPr>
      <w:r>
        <w:rPr>
          <w:rFonts w:hint="eastAsia" w:ascii="黑体" w:eastAsia="黑体"/>
          <w:sz w:val="52"/>
          <w:szCs w:val="52"/>
        </w:rPr>
        <w:t>第四部分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名词解释</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bookmarkStart w:id="0" w:name="_GoBack"/>
      <w:bookmarkEnd w:id="0"/>
    </w:p>
    <w:p>
      <w:pPr>
        <w:spacing w:line="580" w:lineRule="exact"/>
        <w:ind w:firstLine="600"/>
        <w:rPr>
          <w:rFonts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指单位本年度从同级财政部门取得的财政拨款。按现行管理制度，部门决算中反映的财政拨款包括一般公共预算财政拨款和政府性基金财政拨款。</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spacing w:line="580" w:lineRule="exact"/>
        <w:ind w:firstLine="6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spacing w:line="580" w:lineRule="exact"/>
        <w:ind w:firstLine="600"/>
        <w:rPr>
          <w:rFonts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spacing w:line="580" w:lineRule="exact"/>
        <w:ind w:firstLine="6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事业收入”“经营收入”“其他收入”等不足以安排本年支出的情况下，使用以前年度积累的事业基金（事业单位当年收支相抵后按国家规定提取、用于弥补以后年度收支差额的基金）弥补本年度收支缺口的资金。</w:t>
      </w:r>
    </w:p>
    <w:p>
      <w:pPr>
        <w:spacing w:line="580" w:lineRule="exact"/>
        <w:ind w:firstLine="6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指以前年度尚未完成、结转到本年仍按原规定用途继续使用的资金，或项目已完成等产生的结余资金。</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九、结余分配：</w:t>
      </w:r>
      <w:r>
        <w:rPr>
          <w:rFonts w:hint="eastAsia" w:ascii="仿宋_GB2312" w:hAnsi="仿宋" w:eastAsia="仿宋_GB2312"/>
          <w:sz w:val="32"/>
          <w:szCs w:val="32"/>
        </w:rPr>
        <w:t>指事业单位按照《事业单位会计制度》的规定从非财政补助结余中分配的事业基金和职工福利基金等。</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指单位按照有关规定结转到下年继续使用的资金，或项目已完成等产生的结余资金。</w:t>
      </w:r>
    </w:p>
    <w:p>
      <w:pPr>
        <w:spacing w:line="580" w:lineRule="exact"/>
        <w:ind w:firstLine="6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指单位为保障其机构正常运转、完成日常工作任务而发生的各项支出。</w:t>
      </w:r>
    </w:p>
    <w:p>
      <w:pPr>
        <w:spacing w:line="580" w:lineRule="exact"/>
        <w:ind w:firstLine="6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含车辆购置税）及按规定保留的公务用车燃料费、维修费、过路过桥费、保险费等支出；公务接待费反映单位按规定开支的各类公务接待（含外宾接待）支出。</w:t>
      </w:r>
    </w:p>
    <w:p>
      <w:pPr>
        <w:spacing w:line="580" w:lineRule="exact"/>
        <w:ind w:firstLine="640" w:firstLineChars="200"/>
        <w:rPr>
          <w:rFonts w:hint="eastAsia" w:eastAsia="宋体"/>
          <w:lang w:eastAsia="zh-CN"/>
        </w:rPr>
      </w:pPr>
      <w:r>
        <w:rPr>
          <w:rFonts w:hint="eastAsia" w:ascii="黑体" w:hAnsi="黑体" w:eastAsia="黑体"/>
          <w:sz w:val="32"/>
          <w:szCs w:val="32"/>
        </w:rPr>
        <w:t>十五、机关运行经费：</w:t>
      </w:r>
      <w:r>
        <w:rPr>
          <w:rFonts w:hint="eastAsia" w:ascii="仿宋_GB2312" w:eastAsia="仿宋_GB2312"/>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5F0312"/>
    <w:multiLevelType w:val="multilevel"/>
    <w:tmpl w:val="6E5F0312"/>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E48D6"/>
    <w:rsid w:val="03E6002A"/>
    <w:rsid w:val="065A5E5A"/>
    <w:rsid w:val="067E1AAD"/>
    <w:rsid w:val="068D4F60"/>
    <w:rsid w:val="07101A4A"/>
    <w:rsid w:val="08CC2C42"/>
    <w:rsid w:val="0E145963"/>
    <w:rsid w:val="11530665"/>
    <w:rsid w:val="172F0634"/>
    <w:rsid w:val="176E1688"/>
    <w:rsid w:val="1B486A71"/>
    <w:rsid w:val="1B7E7307"/>
    <w:rsid w:val="1BB961E6"/>
    <w:rsid w:val="1BBA44B9"/>
    <w:rsid w:val="1DB419BD"/>
    <w:rsid w:val="2BEA30BF"/>
    <w:rsid w:val="2FDC535F"/>
    <w:rsid w:val="31CE12F2"/>
    <w:rsid w:val="33CD23E6"/>
    <w:rsid w:val="361F02B1"/>
    <w:rsid w:val="37EB0309"/>
    <w:rsid w:val="38686C29"/>
    <w:rsid w:val="387C220D"/>
    <w:rsid w:val="38E45294"/>
    <w:rsid w:val="3A3D0304"/>
    <w:rsid w:val="3BC379F8"/>
    <w:rsid w:val="3D042682"/>
    <w:rsid w:val="3FAE13E1"/>
    <w:rsid w:val="43724803"/>
    <w:rsid w:val="438378AA"/>
    <w:rsid w:val="456C1798"/>
    <w:rsid w:val="457A1FC8"/>
    <w:rsid w:val="487D20E6"/>
    <w:rsid w:val="4B884E94"/>
    <w:rsid w:val="4C1E48D6"/>
    <w:rsid w:val="4E0D07C7"/>
    <w:rsid w:val="50C917B3"/>
    <w:rsid w:val="52B877D5"/>
    <w:rsid w:val="5386066E"/>
    <w:rsid w:val="574655E8"/>
    <w:rsid w:val="5C2C7501"/>
    <w:rsid w:val="5CE67D80"/>
    <w:rsid w:val="62F81FC6"/>
    <w:rsid w:val="65631605"/>
    <w:rsid w:val="67FE0394"/>
    <w:rsid w:val="689D3999"/>
    <w:rsid w:val="6C595192"/>
    <w:rsid w:val="6F211331"/>
    <w:rsid w:val="70945CB8"/>
    <w:rsid w:val="769A654C"/>
    <w:rsid w:val="76AF0CAA"/>
    <w:rsid w:val="7C741877"/>
    <w:rsid w:val="7E3A7546"/>
    <w:rsid w:val="7FD6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p0"/>
    <w:basedOn w:val="1"/>
    <w:uiPriority w:val="0"/>
    <w:pPr>
      <w:widowControl/>
    </w:pPr>
    <w:rPr>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18&#24180;&#20915;&#31639;&#22270;(1)(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18&#24180;&#20915;&#31639;&#22270;(1)(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18&#24180;&#20915;&#31639;&#22270;(1)(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18&#24180;&#20915;&#31639;&#22270;(1)(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18&#24180;&#20915;&#31639;&#22270;(1)(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18&#24180;&#20915;&#31639;&#2227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收、支决算总计变动情况
（单位：万元）</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'[2018年决算图(1)(1).xlsx]Sheet2 (2)'!$B$5</c:f>
              <c:strCache>
                <c:ptCount val="1"/>
                <c:pt idx="0">
                  <c:v>收、支决算总计变动情况
（单位：万元）</c:v>
                </c:pt>
              </c:strCache>
            </c:strRef>
          </c:tx>
          <c:spPr>
            <a:solidFill>
              <a:schemeClr val="accent1"/>
            </a:solidFill>
            <a:ln>
              <a:noFill/>
            </a:ln>
            <a:effectLst/>
          </c:spPr>
          <c:invertIfNegative val="0"/>
          <c:dPt>
            <c:idx val="1"/>
            <c:invertIfNegative val="0"/>
            <c:bubble3D val="0"/>
            <c:spPr>
              <a:solidFill>
                <a:srgbClr val="C0000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'[2018年决算图(1)(1).xlsx]Sheet2 (2)'!$A$6:$A$7</c:f>
              <c:numCache>
                <c:formatCode>General</c:formatCode>
                <c:ptCount val="2"/>
                <c:pt idx="0">
                  <c:v>2017</c:v>
                </c:pt>
                <c:pt idx="1">
                  <c:v>2018</c:v>
                </c:pt>
              </c:numCache>
            </c:numRef>
          </c:cat>
          <c:val>
            <c:numRef>
              <c:f>'[2018年决算图(1)(1).xlsx]Sheet2 (2)'!$B$6:$B$7</c:f>
              <c:numCache>
                <c:formatCode>General</c:formatCode>
                <c:ptCount val="2"/>
                <c:pt idx="0">
                  <c:v>598.2</c:v>
                </c:pt>
                <c:pt idx="1">
                  <c:v>375.12</c:v>
                </c:pt>
              </c:numCache>
            </c:numRef>
          </c:val>
        </c:ser>
        <c:dLbls>
          <c:showLegendKey val="0"/>
          <c:showVal val="1"/>
          <c:showCatName val="0"/>
          <c:showSerName val="0"/>
          <c:showPercent val="0"/>
          <c:showBubbleSize val="0"/>
        </c:dLbls>
        <c:gapWidth val="219"/>
        <c:overlap val="-27"/>
        <c:axId val="119417888"/>
        <c:axId val="119418448"/>
      </c:barChart>
      <c:catAx>
        <c:axId val="1194178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418448"/>
        <c:crosses val="autoZero"/>
        <c:auto val="1"/>
        <c:lblAlgn val="ctr"/>
        <c:lblOffset val="100"/>
        <c:noMultiLvlLbl val="0"/>
      </c:catAx>
      <c:valAx>
        <c:axId val="11941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41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本年收入决算</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pieChart>
        <c:varyColors val="1"/>
        <c:ser>
          <c:idx val="0"/>
          <c:order val="0"/>
          <c:tx>
            <c:strRef>
              <c:f>'[2018年决算图(1)(1).xlsx]Sheet2 (2)'!$B$22</c:f>
              <c:strCache>
                <c:ptCount val="1"/>
                <c:pt idx="0">
                  <c:v>本年收入决算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906240157480315"/>
                  <c:y val="0.006381598133566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71537620297463"/>
                  <c:y val="0.006381598133566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'[2018年决算图(1)(1).xlsx]Sheet2 (2)'!$A$23:$A$25</c:f>
              <c:strCache>
                <c:ptCount val="3"/>
                <c:pt idx="0">
                  <c:v>财政拨款收入占100%</c:v>
                </c:pt>
                <c:pt idx="1">
                  <c:v>上级补助收入占0%</c:v>
                </c:pt>
                <c:pt idx="2">
                  <c:v>其他收入占0%</c:v>
                </c:pt>
              </c:strCache>
            </c:strRef>
          </c:cat>
          <c:val>
            <c:numRef>
              <c:f>'[2018年决算图(1)(1).xlsx]Sheet2 (2)'!$B$23:$B$25</c:f>
              <c:numCache>
                <c:formatCode>0.00%</c:formatCode>
                <c:ptCount val="3"/>
                <c:pt idx="0">
                  <c:v>1</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本年支出决算</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pieChart>
        <c:varyColors val="1"/>
        <c:ser>
          <c:idx val="0"/>
          <c:order val="0"/>
          <c:tx>
            <c:strRef>
              <c:f>'[2018年决算图(1)(1).xlsx]Sheet2 (2)'!$B$42</c:f>
              <c:strCache>
                <c:ptCount val="1"/>
                <c:pt idx="0">
                  <c:v>本年支出决算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0659820647419078"/>
                  <c:y val="-0.03065543890347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'[2018年决算图(1)(1).xlsx]Sheet2 (2)'!$A$43:$A$45</c:f>
              <c:strCache>
                <c:ptCount val="3"/>
                <c:pt idx="0">
                  <c:v>基本支出</c:v>
                </c:pt>
                <c:pt idx="1">
                  <c:v>项目支出</c:v>
                </c:pt>
                <c:pt idx="2">
                  <c:v>对附属单位补助支出</c:v>
                </c:pt>
              </c:strCache>
            </c:strRef>
          </c:cat>
          <c:val>
            <c:numRef>
              <c:f>'[2018年决算图(1)(1).xlsx]Sheet2 (2)'!$B$43:$B$45</c:f>
              <c:numCache>
                <c:formatCode>0.00%</c:formatCode>
                <c:ptCount val="3"/>
                <c:pt idx="0">
                  <c:v>0.8534</c:v>
                </c:pt>
                <c:pt idx="1">
                  <c:v>0.1466</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财政拨款收、支决算总计变动情况
（单位：万元）</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'[2018年决算图(1)(1).xlsx]Sheet2 (2)'!$B$64</c:f>
              <c:strCache>
                <c:ptCount val="1"/>
                <c:pt idx="0">
                  <c:v>财政拨款收、支决算总计变动情况
（单位：万元）</c:v>
                </c:pt>
              </c:strCache>
            </c:strRef>
          </c:tx>
          <c:spPr>
            <a:solidFill>
              <a:schemeClr val="accent1"/>
            </a:solidFill>
            <a:ln>
              <a:noFill/>
            </a:ln>
            <a:effectLst/>
          </c:spPr>
          <c:invertIfNegative val="0"/>
          <c:dPt>
            <c:idx val="1"/>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'[2018年决算图(1)(1).xlsx]Sheet2 (2)'!$A$65:$A$66</c:f>
              <c:numCache>
                <c:formatCode>General</c:formatCode>
                <c:ptCount val="2"/>
                <c:pt idx="0">
                  <c:v>2017</c:v>
                </c:pt>
                <c:pt idx="1">
                  <c:v>2018</c:v>
                </c:pt>
              </c:numCache>
            </c:numRef>
          </c:cat>
          <c:val>
            <c:numRef>
              <c:f>'[2018年决算图(1)(1).xlsx]Sheet2 (2)'!$B$65:$B$66</c:f>
              <c:numCache>
                <c:formatCode>General</c:formatCode>
                <c:ptCount val="2"/>
                <c:pt idx="0">
                  <c:v>598.2</c:v>
                </c:pt>
                <c:pt idx="1">
                  <c:v>375.12</c:v>
                </c:pt>
              </c:numCache>
            </c:numRef>
          </c:val>
        </c:ser>
        <c:dLbls>
          <c:showLegendKey val="0"/>
          <c:showVal val="0"/>
          <c:showCatName val="0"/>
          <c:showSerName val="0"/>
          <c:showPercent val="0"/>
          <c:showBubbleSize val="0"/>
        </c:dLbls>
        <c:gapWidth val="219"/>
        <c:overlap val="-27"/>
        <c:axId val="119424048"/>
        <c:axId val="119424608"/>
      </c:barChart>
      <c:catAx>
        <c:axId val="11942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424608"/>
        <c:crosses val="autoZero"/>
        <c:auto val="1"/>
        <c:lblAlgn val="ctr"/>
        <c:lblOffset val="100"/>
        <c:noMultiLvlLbl val="0"/>
      </c:catAx>
      <c:valAx>
        <c:axId val="11942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42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财政拨款支出决算变动情况
（单位：万元）</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'[2018年决算图(1)(1).xlsx]Sheet2 (2)'!$B$82</c:f>
              <c:strCache>
                <c:ptCount val="1"/>
                <c:pt idx="0">
                  <c:v>财政拨款支出决算变动情况
（单位：万元）</c:v>
                </c:pt>
              </c:strCache>
            </c:strRef>
          </c:tx>
          <c:spPr>
            <a:solidFill>
              <a:schemeClr val="accent1"/>
            </a:solidFill>
            <a:ln>
              <a:noFill/>
            </a:ln>
            <a:effectLst/>
          </c:spPr>
          <c:invertIfNegative val="0"/>
          <c:dPt>
            <c:idx val="1"/>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'[2018年决算图(1)(1).xlsx]Sheet2 (2)'!$A$83:$A$84</c:f>
              <c:numCache>
                <c:formatCode>General</c:formatCode>
                <c:ptCount val="2"/>
                <c:pt idx="0">
                  <c:v>2017</c:v>
                </c:pt>
                <c:pt idx="1">
                  <c:v>2018</c:v>
                </c:pt>
              </c:numCache>
            </c:numRef>
          </c:cat>
          <c:val>
            <c:numRef>
              <c:f>'[2018年决算图(1)(1).xlsx]Sheet2 (2)'!$B$83:$B$84</c:f>
              <c:numCache>
                <c:formatCode>General</c:formatCode>
                <c:ptCount val="2"/>
                <c:pt idx="0">
                  <c:v>301.6</c:v>
                </c:pt>
                <c:pt idx="1">
                  <c:v>189.7</c:v>
                </c:pt>
              </c:numCache>
            </c:numRef>
          </c:val>
        </c:ser>
        <c:dLbls>
          <c:showLegendKey val="0"/>
          <c:showVal val="0"/>
          <c:showCatName val="0"/>
          <c:showSerName val="0"/>
          <c:showPercent val="0"/>
          <c:showBubbleSize val="0"/>
        </c:dLbls>
        <c:gapWidth val="219"/>
        <c:overlap val="-27"/>
        <c:axId val="220838064"/>
        <c:axId val="220838624"/>
      </c:barChart>
      <c:catAx>
        <c:axId val="22083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0838624"/>
        <c:crosses val="autoZero"/>
        <c:auto val="1"/>
        <c:lblAlgn val="ctr"/>
        <c:lblOffset val="100"/>
        <c:noMultiLvlLbl val="0"/>
      </c:catAx>
      <c:valAx>
        <c:axId val="22083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0838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财政拨款支出决算结构</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pieChart>
        <c:varyColors val="1"/>
        <c:ser>
          <c:idx val="0"/>
          <c:order val="0"/>
          <c:tx>
            <c:strRef>
              <c:f>'[2018年决算图(1)(1).xlsx]Sheet2 (2)'!$B$101</c:f>
              <c:strCache>
                <c:ptCount val="1"/>
                <c:pt idx="0">
                  <c:v>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00069346019247594"/>
                  <c:y val="-0.011248541848935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88898731408574"/>
                  <c:y val="0.007269976669582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02767935258093"/>
                  <c:y val="-0.0019892825896762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'[2018年决算图(1)(1).xlsx]Sheet2 (2)'!$A$102:$A$105</c:f>
              <c:strCache>
                <c:ptCount val="4"/>
                <c:pt idx="0">
                  <c:v>一般公共服务（类）支出100%</c:v>
                </c:pt>
                <c:pt idx="1">
                  <c:v>国防（类）支出占0%</c:v>
                </c:pt>
                <c:pt idx="2">
                  <c:v>公共安全（类）支出占0%</c:v>
                </c:pt>
                <c:pt idx="3">
                  <c:v>教育（类）支出占0%</c:v>
                </c:pt>
              </c:strCache>
            </c:strRef>
          </c:cat>
          <c:val>
            <c:numRef>
              <c:f>'[2018年决算图(1)(1).xlsx]Sheet2 (2)'!$B$102:$B$105</c:f>
              <c:numCache>
                <c:formatCode>0.00%</c:formatCode>
                <c:ptCount val="4"/>
                <c:pt idx="0">
                  <c:v>1</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2021-05-14T00:51:00Z</dcterms:created>
  <dc:creator>Administrator</dc:creator>
  <cp:lastModifiedBy>Administrator</cp:lastModifiedBy>
  <dcterms:modified xsi:type="dcterms:W3CDTF">2021-05-17T01:29:42Z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F54807E015524D2A9DC6B372BA25574E</vt:lpwstr>
  </property>
</Properties>
</file>